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tabs>
          <w:tab w:val="left" w:pos="0"/>
          <w:tab w:val="left" w:pos="420"/>
          <w:tab w:val="center" w:pos="4153"/>
        </w:tabs>
        <w:autoSpaceDE w:val="0"/>
        <w:autoSpaceDN w:val="0"/>
        <w:adjustRightInd w:val="0"/>
        <w:spacing w:line="560" w:lineRule="exact"/>
        <w:jc w:val="center"/>
        <w:outlineLvl w:val="0"/>
        <w:rPr>
          <w:rFonts w:ascii="Times New Roman" w:hAnsi="Times New Roman" w:eastAsia="方正小标宋简体" w:cs="Times New Roman"/>
          <w:bCs/>
          <w:kern w:val="44"/>
          <w:sz w:val="44"/>
          <w:szCs w:val="44"/>
        </w:rPr>
      </w:pPr>
      <w:bookmarkStart w:id="0" w:name="OLE_LINK2"/>
      <w:bookmarkStart w:id="1" w:name="OLE_LINK1"/>
      <w:r>
        <w:rPr>
          <w:rFonts w:hint="eastAsia" w:ascii="Times New Roman" w:hAnsi="Times New Roman" w:eastAsia="方正小标宋简体" w:cs="Times New Roman"/>
          <w:bCs/>
          <w:kern w:val="44"/>
          <w:sz w:val="44"/>
          <w:szCs w:val="44"/>
        </w:rPr>
        <w:t>石化工程</w:t>
      </w:r>
      <w:r>
        <w:rPr>
          <w:rFonts w:hint="eastAsia" w:ascii="Times New Roman" w:hAnsi="Times New Roman" w:eastAsia="方正小标宋简体" w:cs="Times New Roman"/>
          <w:bCs/>
          <w:kern w:val="44"/>
          <w:sz w:val="44"/>
          <w:szCs w:val="44"/>
          <w:lang w:val="en-US" w:eastAsia="zh-CN"/>
        </w:rPr>
        <w:t>-</w:t>
      </w:r>
      <w:r>
        <w:rPr>
          <w:rFonts w:hint="eastAsia" w:ascii="Times New Roman" w:hAnsi="Times New Roman" w:eastAsia="方正小标宋简体" w:cs="Times New Roman"/>
          <w:bCs/>
          <w:kern w:val="44"/>
          <w:sz w:val="44"/>
          <w:szCs w:val="44"/>
        </w:rPr>
        <w:t>中海壳牌惠州聚碳酸酯项目智慧工地</w:t>
      </w:r>
      <w:r>
        <w:rPr>
          <w:rFonts w:hint="eastAsia" w:ascii="Times New Roman" w:hAnsi="Times New Roman" w:eastAsia="方正小标宋简体" w:cs="Times New Roman"/>
          <w:bCs/>
          <w:kern w:val="44"/>
          <w:sz w:val="44"/>
          <w:szCs w:val="44"/>
          <w:lang w:val="en-US" w:eastAsia="zh-CN"/>
        </w:rPr>
        <w:t>建设工程施工承包</w:t>
      </w:r>
      <w:r>
        <w:rPr>
          <w:rFonts w:ascii="Times New Roman" w:hAnsi="Times New Roman" w:eastAsia="方正小标宋简体" w:cs="Times New Roman"/>
          <w:bCs/>
          <w:kern w:val="44"/>
          <w:sz w:val="44"/>
          <w:szCs w:val="44"/>
        </w:rPr>
        <w:t>采</w:t>
      </w:r>
      <w:r>
        <w:rPr>
          <w:rFonts w:hint="eastAsia" w:ascii="Times New Roman" w:hAnsi="Times New Roman" w:eastAsia="方正小标宋简体" w:cs="Times New Roman"/>
          <w:bCs/>
          <w:kern w:val="44"/>
          <w:sz w:val="44"/>
          <w:szCs w:val="44"/>
          <w:lang w:val="en-US" w:eastAsia="zh-CN"/>
        </w:rPr>
        <w:t>购</w:t>
      </w:r>
      <w:r>
        <w:rPr>
          <w:rFonts w:ascii="Times New Roman" w:hAnsi="Times New Roman" w:eastAsia="方正小标宋简体" w:cs="Times New Roman"/>
          <w:bCs/>
          <w:kern w:val="44"/>
          <w:sz w:val="44"/>
          <w:szCs w:val="44"/>
        </w:rPr>
        <w:t>计划公告</w:t>
      </w:r>
    </w:p>
    <w:p>
      <w:pPr>
        <w:keepNext/>
        <w:keepLines/>
        <w:tabs>
          <w:tab w:val="left" w:pos="0"/>
          <w:tab w:val="left" w:pos="420"/>
          <w:tab w:val="center" w:pos="4153"/>
        </w:tabs>
        <w:autoSpaceDE w:val="0"/>
        <w:autoSpaceDN w:val="0"/>
        <w:adjustRightInd w:val="0"/>
        <w:spacing w:line="560" w:lineRule="exact"/>
        <w:jc w:val="center"/>
        <w:outlineLvl w:val="0"/>
        <w:rPr>
          <w:rFonts w:ascii="Times New Roman" w:hAnsi="Times New Roman" w:eastAsia="方正小标宋简体" w:cs="Times New Roman"/>
          <w:bCs/>
          <w:kern w:val="44"/>
          <w:sz w:val="44"/>
          <w:szCs w:val="44"/>
        </w:rPr>
      </w:pPr>
    </w:p>
    <w:p>
      <w:pPr>
        <w:tabs>
          <w:tab w:val="left" w:pos="993"/>
          <w:tab w:val="left" w:pos="1134"/>
          <w:tab w:val="left" w:pos="141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为便于供应商及时了解项目采办信息，现将</w:t>
      </w:r>
      <w:r>
        <w:rPr>
          <w:rFonts w:hint="eastAsia" w:ascii="Times New Roman" w:hAnsi="Times New Roman" w:eastAsia="仿宋_GB2312" w:cs="Times New Roman"/>
          <w:sz w:val="32"/>
          <w:szCs w:val="32"/>
        </w:rPr>
        <w:t>石化工程</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中海壳牌惠州聚碳酸酯项目智慧工地</w:t>
      </w:r>
      <w:r>
        <w:rPr>
          <w:rFonts w:hint="eastAsia" w:ascii="Times New Roman" w:hAnsi="Times New Roman" w:eastAsia="仿宋_GB2312" w:cs="Times New Roman"/>
          <w:sz w:val="32"/>
          <w:szCs w:val="32"/>
          <w:lang w:val="en-US" w:eastAsia="zh-CN"/>
        </w:rPr>
        <w:t>建设工程施工承包</w:t>
      </w:r>
      <w:r>
        <w:rPr>
          <w:rFonts w:ascii="Times New Roman" w:hAnsi="Times New Roman" w:eastAsia="仿宋_GB2312" w:cs="Times New Roman"/>
          <w:sz w:val="32"/>
          <w:szCs w:val="32"/>
        </w:rPr>
        <w:t>采</w:t>
      </w:r>
      <w:r>
        <w:rPr>
          <w:rFonts w:hint="eastAsia" w:ascii="Times New Roman" w:hAnsi="Times New Roman" w:eastAsia="仿宋_GB2312" w:cs="Times New Roman"/>
          <w:sz w:val="32"/>
          <w:szCs w:val="32"/>
          <w:lang w:val="en-US" w:eastAsia="zh-CN"/>
        </w:rPr>
        <w:t>购</w:t>
      </w:r>
      <w:r>
        <w:rPr>
          <w:rFonts w:ascii="Times New Roman" w:hAnsi="Times New Roman" w:eastAsia="仿宋_GB2312" w:cs="Times New Roman"/>
          <w:sz w:val="32"/>
          <w:szCs w:val="32"/>
        </w:rPr>
        <w:t>计划公开如下：</w:t>
      </w:r>
    </w:p>
    <w:tbl>
      <w:tblPr>
        <w:tblStyle w:val="16"/>
        <w:tblW w:w="90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134"/>
        <w:gridCol w:w="2825"/>
        <w:gridCol w:w="1437"/>
        <w:gridCol w:w="2152"/>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Align w:val="center"/>
          </w:tcPr>
          <w:p>
            <w:pPr>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序号</w:t>
            </w:r>
          </w:p>
        </w:tc>
        <w:tc>
          <w:tcPr>
            <w:tcW w:w="1134" w:type="dxa"/>
            <w:vAlign w:val="center"/>
          </w:tcPr>
          <w:p>
            <w:pPr>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采办包</w:t>
            </w:r>
          </w:p>
          <w:p>
            <w:pPr>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名称</w:t>
            </w:r>
          </w:p>
        </w:tc>
        <w:tc>
          <w:tcPr>
            <w:tcW w:w="2825" w:type="dxa"/>
            <w:vAlign w:val="center"/>
          </w:tcPr>
          <w:p>
            <w:pPr>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采购范围与主要技术指标</w:t>
            </w:r>
          </w:p>
        </w:tc>
        <w:tc>
          <w:tcPr>
            <w:tcW w:w="1437" w:type="dxa"/>
            <w:vAlign w:val="center"/>
          </w:tcPr>
          <w:p>
            <w:pPr>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预计发标时间</w:t>
            </w:r>
          </w:p>
          <w:p>
            <w:pPr>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（填写到月）</w:t>
            </w:r>
          </w:p>
        </w:tc>
        <w:tc>
          <w:tcPr>
            <w:tcW w:w="2152" w:type="dxa"/>
            <w:vAlign w:val="center"/>
          </w:tcPr>
          <w:p>
            <w:pPr>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供应商资质基本要求</w:t>
            </w:r>
          </w:p>
        </w:tc>
        <w:tc>
          <w:tcPr>
            <w:tcW w:w="680" w:type="dxa"/>
            <w:vAlign w:val="center"/>
          </w:tcPr>
          <w:p>
            <w:pPr>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845" w:type="dxa"/>
            <w:vAlign w:val="center"/>
          </w:tcPr>
          <w:p>
            <w:pPr>
              <w:ind w:firstLine="420" w:firstLineChars="200"/>
              <w:rPr>
                <w:rFonts w:ascii="Times New Roman" w:hAnsi="Times New Roman" w:eastAsia="仿宋" w:cs="Times New Roman"/>
                <w:kern w:val="0"/>
                <w:sz w:val="21"/>
                <w:szCs w:val="21"/>
              </w:rPr>
            </w:pPr>
            <w:r>
              <w:rPr>
                <w:rFonts w:ascii="Times New Roman" w:hAnsi="Times New Roman" w:eastAsia="仿宋" w:cs="Times New Roman"/>
                <w:kern w:val="0"/>
                <w:sz w:val="21"/>
                <w:szCs w:val="21"/>
              </w:rPr>
              <w:t>1</w:t>
            </w:r>
          </w:p>
        </w:tc>
        <w:tc>
          <w:tcPr>
            <w:tcW w:w="1134" w:type="dxa"/>
            <w:vAlign w:val="center"/>
          </w:tcPr>
          <w:p>
            <w:pPr>
              <w:spacing w:line="360" w:lineRule="auto"/>
              <w:rPr>
                <w:rFonts w:hint="default" w:ascii="Times New Roman" w:hAnsi="Times New Roman" w:eastAsia="仿宋" w:cs="Times New Roman"/>
                <w:kern w:val="0"/>
                <w:sz w:val="21"/>
                <w:szCs w:val="21"/>
                <w:lang w:val="en-US" w:eastAsia="zh-CN"/>
              </w:rPr>
            </w:pPr>
            <w:r>
              <w:rPr>
                <w:rFonts w:ascii="仿宋" w:hAnsi="仿宋" w:eastAsia="仿宋" w:cs="仿宋"/>
                <w:sz w:val="21"/>
                <w:szCs w:val="21"/>
              </w:rPr>
              <w:t>石化工程中海壳牌惠州聚碳酸酯项目智慧工地</w:t>
            </w:r>
            <w:r>
              <w:rPr>
                <w:rFonts w:hint="eastAsia" w:ascii="仿宋" w:hAnsi="仿宋" w:eastAsia="仿宋" w:cs="仿宋"/>
                <w:sz w:val="21"/>
                <w:szCs w:val="21"/>
                <w:lang w:val="en-US" w:eastAsia="zh-CN"/>
              </w:rPr>
              <w:t>建设工程施工承包</w:t>
            </w:r>
          </w:p>
        </w:tc>
        <w:tc>
          <w:tcPr>
            <w:tcW w:w="2825" w:type="dxa"/>
            <w:vAlign w:val="center"/>
          </w:tcPr>
          <w:p>
            <w:pPr>
              <w:spacing w:line="360" w:lineRule="auto"/>
              <w:ind w:left="0" w:leftChars="0" w:firstLine="420" w:firstLineChars="0"/>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lang w:val="en-US" w:eastAsia="zh-CN" w:bidi="ar-SA"/>
              </w:rPr>
              <w:t>本工程包括智慧工地</w:t>
            </w:r>
            <w:r>
              <w:rPr>
                <w:rFonts w:hint="eastAsia" w:ascii="Times New Roman" w:hAnsi="Times New Roman" w:eastAsia="仿宋" w:cs="Times New Roman"/>
                <w:kern w:val="0"/>
                <w:sz w:val="21"/>
                <w:szCs w:val="21"/>
                <w:lang w:val="en-US" w:eastAsia="zh-CN" w:bidi="ar-SA"/>
              </w:rPr>
              <w:t>工程施工</w:t>
            </w:r>
            <w:r>
              <w:rPr>
                <w:rFonts w:hint="default" w:ascii="Times New Roman" w:hAnsi="Times New Roman" w:eastAsia="仿宋" w:cs="Times New Roman"/>
                <w:kern w:val="0"/>
                <w:sz w:val="21"/>
                <w:szCs w:val="21"/>
                <w:lang w:val="en-US" w:eastAsia="zh-CN" w:bidi="ar-SA"/>
              </w:rPr>
              <w:t>的</w:t>
            </w:r>
            <w:r>
              <w:rPr>
                <w:rFonts w:hint="eastAsia" w:ascii="Times New Roman" w:hAnsi="Times New Roman" w:eastAsia="仿宋" w:cs="Times New Roman"/>
                <w:kern w:val="0"/>
                <w:sz w:val="21"/>
                <w:szCs w:val="21"/>
                <w:lang w:val="en-US" w:eastAsia="zh-CN" w:bidi="ar-SA"/>
              </w:rPr>
              <w:t>深化</w:t>
            </w:r>
            <w:r>
              <w:rPr>
                <w:rFonts w:hint="default" w:ascii="Times New Roman" w:hAnsi="Times New Roman" w:eastAsia="仿宋" w:cs="Times New Roman"/>
                <w:kern w:val="0"/>
                <w:sz w:val="21"/>
                <w:szCs w:val="21"/>
                <w:lang w:val="en-US" w:eastAsia="zh-CN" w:bidi="ar-SA"/>
              </w:rPr>
              <w:t>设计、</w:t>
            </w:r>
            <w:r>
              <w:rPr>
                <w:rFonts w:hint="eastAsia" w:ascii="Times New Roman" w:hAnsi="Times New Roman" w:eastAsia="仿宋" w:cs="Times New Roman"/>
                <w:kern w:val="0"/>
                <w:sz w:val="21"/>
                <w:szCs w:val="21"/>
                <w:lang w:val="en-US" w:eastAsia="zh-CN" w:bidi="ar-SA"/>
              </w:rPr>
              <w:t>供货</w:t>
            </w:r>
            <w:r>
              <w:rPr>
                <w:rFonts w:hint="default" w:ascii="Times New Roman" w:hAnsi="Times New Roman" w:eastAsia="仿宋" w:cs="Times New Roman"/>
                <w:kern w:val="0"/>
                <w:sz w:val="21"/>
                <w:szCs w:val="21"/>
                <w:lang w:val="en-US" w:eastAsia="zh-CN" w:bidi="ar-SA"/>
              </w:rPr>
              <w:t>、安装调试及投用维护等工作，工作区域涵盖大亚湾石化区C1厂区、C2预制场、惠州石化及C2管廊区、东联码头管廊区等</w:t>
            </w:r>
            <w:r>
              <w:rPr>
                <w:rFonts w:hint="eastAsia" w:ascii="Times New Roman" w:hAnsi="Times New Roman" w:eastAsia="仿宋" w:cs="Times New Roman"/>
                <w:kern w:val="0"/>
                <w:sz w:val="21"/>
                <w:szCs w:val="21"/>
                <w:lang w:val="en-US" w:eastAsia="zh-CN" w:bidi="ar-SA"/>
              </w:rPr>
              <w:t>。</w:t>
            </w:r>
          </w:p>
          <w:p>
            <w:pPr>
              <w:pStyle w:val="5"/>
              <w:spacing w:line="360" w:lineRule="auto"/>
              <w:ind w:left="0" w:leftChars="0" w:firstLine="0" w:firstLineChars="0"/>
              <w:rPr>
                <w:rFonts w:hint="default"/>
                <w:lang w:val="en-US" w:eastAsia="zh-CN"/>
              </w:rPr>
            </w:pPr>
            <w:r>
              <w:rPr>
                <w:rFonts w:hint="eastAsia" w:ascii="Times New Roman" w:hAnsi="Times New Roman" w:eastAsia="仿宋" w:cs="Times New Roman"/>
                <w:kern w:val="0"/>
                <w:sz w:val="21"/>
                <w:szCs w:val="21"/>
                <w:lang w:val="en-US" w:eastAsia="zh-CN" w:bidi="ar-SA"/>
              </w:rPr>
              <w:t>具体工作范围详见附件1：工作范围与技术要求。</w:t>
            </w:r>
          </w:p>
        </w:tc>
        <w:tc>
          <w:tcPr>
            <w:tcW w:w="1437" w:type="dxa"/>
            <w:vAlign w:val="center"/>
          </w:tcPr>
          <w:p>
            <w:pPr>
              <w:rPr>
                <w:rFonts w:ascii="Times New Roman" w:hAnsi="Times New Roman" w:eastAsia="仿宋" w:cs="Times New Roman"/>
                <w:kern w:val="0"/>
                <w:sz w:val="21"/>
                <w:szCs w:val="21"/>
              </w:rPr>
            </w:pPr>
            <w:r>
              <w:rPr>
                <w:rFonts w:hint="eastAsia" w:ascii="Times New Roman" w:hAnsi="Times New Roman" w:eastAsia="仿宋" w:cs="Times New Roman"/>
                <w:kern w:val="0"/>
                <w:sz w:val="21"/>
                <w:szCs w:val="21"/>
              </w:rPr>
              <w:t>2</w:t>
            </w:r>
            <w:r>
              <w:rPr>
                <w:rFonts w:ascii="Times New Roman" w:hAnsi="Times New Roman" w:eastAsia="仿宋" w:cs="Times New Roman"/>
                <w:kern w:val="0"/>
                <w:sz w:val="21"/>
                <w:szCs w:val="21"/>
              </w:rPr>
              <w:t>02</w:t>
            </w:r>
            <w:r>
              <w:rPr>
                <w:rFonts w:hint="eastAsia" w:ascii="Times New Roman" w:hAnsi="Times New Roman" w:eastAsia="仿宋" w:cs="Times New Roman"/>
                <w:kern w:val="0"/>
                <w:sz w:val="21"/>
                <w:szCs w:val="21"/>
                <w:lang w:val="en-US" w:eastAsia="zh-CN"/>
              </w:rPr>
              <w:t>6</w:t>
            </w:r>
            <w:r>
              <w:rPr>
                <w:rFonts w:ascii="Times New Roman" w:hAnsi="Times New Roman" w:eastAsia="仿宋" w:cs="Times New Roman"/>
                <w:kern w:val="0"/>
                <w:sz w:val="21"/>
                <w:szCs w:val="21"/>
              </w:rPr>
              <w:t>年</w:t>
            </w:r>
            <w:r>
              <w:rPr>
                <w:rFonts w:hint="eastAsia" w:ascii="Times New Roman" w:hAnsi="Times New Roman" w:eastAsia="仿宋" w:cs="Times New Roman"/>
                <w:kern w:val="0"/>
                <w:sz w:val="21"/>
                <w:szCs w:val="21"/>
                <w:lang w:val="en-US" w:eastAsia="zh-CN"/>
              </w:rPr>
              <w:t>4</w:t>
            </w:r>
            <w:r>
              <w:rPr>
                <w:rFonts w:hint="eastAsia" w:ascii="Times New Roman" w:hAnsi="Times New Roman" w:eastAsia="仿宋" w:cs="Times New Roman"/>
                <w:kern w:val="0"/>
                <w:sz w:val="21"/>
                <w:szCs w:val="21"/>
              </w:rPr>
              <w:t>月</w:t>
            </w:r>
          </w:p>
        </w:tc>
        <w:tc>
          <w:tcPr>
            <w:tcW w:w="2152" w:type="dxa"/>
            <w:vAlign w:val="center"/>
          </w:tcPr>
          <w:p>
            <w:pPr>
              <w:numPr>
                <w:ilvl w:val="0"/>
                <w:numId w:val="2"/>
              </w:numPr>
              <w:rPr>
                <w:rFonts w:hint="eastAsia" w:ascii="Times New Roman" w:hAnsi="Times New Roman" w:eastAsia="仿宋" w:cs="Times New Roman"/>
                <w:kern w:val="0"/>
                <w:szCs w:val="21"/>
                <w:lang w:eastAsia="zh-CN"/>
              </w:rPr>
            </w:pPr>
            <w:r>
              <w:rPr>
                <w:rFonts w:hint="eastAsia" w:ascii="Times New Roman" w:hAnsi="Times New Roman" w:eastAsia="仿宋" w:cs="Times New Roman"/>
                <w:kern w:val="0"/>
                <w:sz w:val="21"/>
                <w:szCs w:val="21"/>
                <w:lang w:val="en-US" w:eastAsia="zh-CN"/>
              </w:rPr>
              <w:t>资质要求：</w:t>
            </w:r>
            <w:r>
              <w:rPr>
                <w:rFonts w:hint="eastAsia" w:ascii="Times New Roman" w:hAnsi="Times New Roman" w:eastAsia="仿宋" w:cs="Times New Roman"/>
                <w:kern w:val="0"/>
                <w:szCs w:val="21"/>
              </w:rPr>
              <w:t>投标人具有合法有效的企业法人营业执照、税务登记证及组织机构代码证或证照合一的营业执照，投标时需提供原件扫描件（原件备查）</w:t>
            </w:r>
            <w:r>
              <w:rPr>
                <w:rFonts w:hint="eastAsia" w:ascii="Times New Roman" w:hAnsi="Times New Roman" w:eastAsia="仿宋" w:cs="Times New Roman"/>
                <w:kern w:val="0"/>
                <w:szCs w:val="21"/>
                <w:lang w:eastAsia="zh-CN"/>
              </w:rPr>
              <w:t>。</w:t>
            </w:r>
          </w:p>
          <w:p>
            <w:pPr>
              <w:numPr>
                <w:ilvl w:val="0"/>
                <w:numId w:val="2"/>
              </w:numPr>
              <w:rPr>
                <w:rFonts w:hint="eastAsia" w:ascii="Times New Roman" w:hAnsi="Times New Roman" w:eastAsia="仿宋" w:cs="Times New Roman"/>
                <w:kern w:val="0"/>
                <w:sz w:val="21"/>
                <w:szCs w:val="21"/>
                <w:lang w:val="en-US" w:eastAsia="zh-CN"/>
              </w:rPr>
            </w:pPr>
            <w:r>
              <w:rPr>
                <w:rFonts w:hint="eastAsia" w:ascii="Times New Roman" w:hAnsi="Times New Roman" w:eastAsia="仿宋" w:cs="Times New Roman"/>
                <w:kern w:val="0"/>
                <w:sz w:val="21"/>
                <w:szCs w:val="21"/>
                <w:lang w:val="en-US" w:eastAsia="zh-CN"/>
              </w:rPr>
              <w:t>资格要求：投标人</w:t>
            </w:r>
            <w:r>
              <w:rPr>
                <w:rFonts w:hint="eastAsia" w:ascii="Times New Roman" w:hAnsi="Times New Roman" w:eastAsia="仿宋" w:cs="Times New Roman"/>
                <w:kern w:val="0"/>
                <w:sz w:val="21"/>
                <w:szCs w:val="21"/>
              </w:rPr>
              <w:t>具有有效的电子与智能化工程专业承包二级及以上资质</w:t>
            </w:r>
            <w:r>
              <w:rPr>
                <w:rFonts w:hint="eastAsia" w:ascii="Times New Roman" w:hAnsi="Times New Roman" w:eastAsia="仿宋" w:cs="Times New Roman"/>
                <w:kern w:val="0"/>
                <w:sz w:val="21"/>
                <w:szCs w:val="21"/>
                <w:lang w:val="en-US" w:eastAsia="zh-CN"/>
              </w:rPr>
              <w:t>和</w:t>
            </w:r>
            <w:r>
              <w:rPr>
                <w:rFonts w:hint="eastAsia" w:ascii="Times New Roman" w:hAnsi="Times New Roman" w:eastAsia="仿宋" w:cs="Times New Roman"/>
                <w:kern w:val="0"/>
                <w:sz w:val="21"/>
                <w:szCs w:val="21"/>
              </w:rPr>
              <w:t>安全生产许可证</w:t>
            </w:r>
            <w:r>
              <w:rPr>
                <w:rFonts w:hint="eastAsia" w:ascii="Times New Roman" w:hAnsi="Times New Roman" w:eastAsia="仿宋" w:cs="Times New Roman"/>
                <w:kern w:val="0"/>
                <w:sz w:val="21"/>
                <w:szCs w:val="21"/>
                <w:lang w:eastAsia="zh-CN"/>
              </w:rPr>
              <w:t>。</w:t>
            </w:r>
          </w:p>
          <w:p>
            <w:pPr>
              <w:numPr>
                <w:ilvl w:val="0"/>
                <w:numId w:val="2"/>
              </w:numPr>
              <w:rPr>
                <w:rFonts w:ascii="Times New Roman" w:hAnsi="Times New Roman" w:eastAsia="仿宋" w:cs="Times New Roman"/>
                <w:kern w:val="0"/>
                <w:sz w:val="21"/>
                <w:szCs w:val="21"/>
              </w:rPr>
            </w:pPr>
            <w:r>
              <w:rPr>
                <w:rFonts w:hint="eastAsia" w:ascii="Times New Roman" w:hAnsi="Times New Roman" w:eastAsia="仿宋" w:cs="Times New Roman"/>
                <w:kern w:val="0"/>
                <w:sz w:val="21"/>
                <w:szCs w:val="21"/>
              </w:rPr>
              <w:t>业绩要求：自</w:t>
            </w:r>
            <w:r>
              <w:rPr>
                <w:rFonts w:ascii="Times New Roman" w:hAnsi="Times New Roman" w:eastAsia="仿宋" w:cs="Times New Roman"/>
                <w:kern w:val="0"/>
                <w:sz w:val="21"/>
                <w:szCs w:val="21"/>
              </w:rPr>
              <w:t>20</w:t>
            </w:r>
            <w:r>
              <w:rPr>
                <w:rFonts w:hint="eastAsia" w:ascii="Times New Roman" w:hAnsi="Times New Roman" w:eastAsia="仿宋" w:cs="Times New Roman"/>
                <w:kern w:val="0"/>
                <w:sz w:val="21"/>
                <w:szCs w:val="21"/>
                <w:lang w:val="en-US" w:eastAsia="zh-CN"/>
              </w:rPr>
              <w:t>21</w:t>
            </w:r>
            <w:r>
              <w:rPr>
                <w:rFonts w:ascii="Times New Roman" w:hAnsi="Times New Roman" w:eastAsia="仿宋" w:cs="Times New Roman"/>
                <w:kern w:val="0"/>
                <w:sz w:val="21"/>
                <w:szCs w:val="21"/>
              </w:rPr>
              <w:t>年1月1日起至本次招标投标截止之日止，</w:t>
            </w:r>
            <w:r>
              <w:rPr>
                <w:rFonts w:hint="eastAsia" w:ascii="Times New Roman" w:hAnsi="Times New Roman" w:eastAsia="仿宋" w:cs="Times New Roman"/>
                <w:kern w:val="0"/>
                <w:sz w:val="21"/>
                <w:szCs w:val="21"/>
                <w:lang w:val="en-US" w:eastAsia="zh-CN"/>
              </w:rPr>
              <w:t>投标人须至少具有1个合同的智慧化工地或智能化工程竣工（或完工）验收业绩，且合同金额(或结算金额)≥100万元。劳务分包业绩属于无效业绩。工程建设项目由总承包人分包给分包商，该业绩不算总承包商的业绩，只算分包商的业绩。</w:t>
            </w:r>
          </w:p>
          <w:p>
            <w:pPr>
              <w:numPr>
                <w:ilvl w:val="0"/>
                <w:numId w:val="2"/>
              </w:numPr>
              <w:rPr>
                <w:rFonts w:hint="default" w:ascii="Times New Roman" w:hAnsi="Times New Roman" w:eastAsia="仿宋" w:cs="Times New Roman"/>
                <w:kern w:val="0"/>
                <w:sz w:val="21"/>
                <w:szCs w:val="21"/>
                <w:lang w:val="en-US" w:eastAsia="zh-CN"/>
              </w:rPr>
            </w:pPr>
            <w:r>
              <w:rPr>
                <w:rFonts w:ascii="Times New Roman" w:hAnsi="Times New Roman" w:eastAsia="仿宋" w:cs="Times New Roman"/>
                <w:kern w:val="0"/>
                <w:sz w:val="21"/>
                <w:szCs w:val="21"/>
              </w:rPr>
              <w:t>近3年内（20</w:t>
            </w:r>
            <w:r>
              <w:rPr>
                <w:rFonts w:hint="eastAsia" w:ascii="Times New Roman" w:hAnsi="Times New Roman" w:eastAsia="仿宋" w:cs="Times New Roman"/>
                <w:kern w:val="0"/>
                <w:sz w:val="21"/>
                <w:szCs w:val="21"/>
                <w:lang w:val="en-US" w:eastAsia="zh-CN"/>
              </w:rPr>
              <w:t>23</w:t>
            </w:r>
            <w:r>
              <w:rPr>
                <w:rFonts w:ascii="Times New Roman" w:hAnsi="Times New Roman" w:eastAsia="仿宋" w:cs="Times New Roman"/>
                <w:kern w:val="0"/>
                <w:sz w:val="21"/>
                <w:szCs w:val="21"/>
              </w:rPr>
              <w:t>年1月1日起至本次招标投标截止日止）</w:t>
            </w:r>
            <w:r>
              <w:rPr>
                <w:rFonts w:hint="eastAsia" w:ascii="Times New Roman" w:hAnsi="Times New Roman" w:eastAsia="仿宋" w:cs="Times New Roman"/>
                <w:kern w:val="0"/>
                <w:sz w:val="21"/>
                <w:szCs w:val="21"/>
                <w:lang w:val="en-US" w:eastAsia="zh-CN"/>
              </w:rPr>
              <w:t>智慧工地或智能化工程</w:t>
            </w:r>
            <w:r>
              <w:rPr>
                <w:rFonts w:ascii="Times New Roman" w:hAnsi="Times New Roman" w:eastAsia="仿宋" w:cs="Times New Roman"/>
                <w:kern w:val="0"/>
                <w:sz w:val="21"/>
                <w:szCs w:val="21"/>
              </w:rPr>
              <w:t>施工期间未发生过重大HSE或质量事故。</w:t>
            </w:r>
          </w:p>
        </w:tc>
        <w:tc>
          <w:tcPr>
            <w:tcW w:w="680" w:type="dxa"/>
            <w:vAlign w:val="center"/>
          </w:tcPr>
          <w:p>
            <w:pPr>
              <w:rPr>
                <w:rFonts w:ascii="Times New Roman" w:hAnsi="Times New Roman" w:eastAsia="仿宋" w:cs="Times New Roman"/>
                <w:kern w:val="0"/>
                <w:sz w:val="21"/>
                <w:szCs w:val="21"/>
              </w:rPr>
            </w:pPr>
          </w:p>
        </w:tc>
      </w:tr>
    </w:tbl>
    <w:p>
      <w:pPr>
        <w:tabs>
          <w:tab w:val="left" w:pos="993"/>
          <w:tab w:val="left" w:pos="1134"/>
          <w:tab w:val="left" w:pos="141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本次公开的采办计划是本项目采办工作的初步安排，实际采购应以相关采购公告和采购文件为准，所有提供和反馈的信息只作为项目采办参考。</w:t>
      </w:r>
    </w:p>
    <w:p>
      <w:pPr>
        <w:tabs>
          <w:tab w:val="left" w:pos="993"/>
          <w:tab w:val="left" w:pos="1134"/>
          <w:tab w:val="left" w:pos="1418"/>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本次公告有效期是（202</w:t>
      </w:r>
      <w:r>
        <w:rPr>
          <w:rFonts w:hint="eastAsia" w:ascii="Times New Roman" w:hAnsi="Times New Roman" w:eastAsia="仿宋_GB2312" w:cs="Times New Roman"/>
          <w:sz w:val="32"/>
          <w:szCs w:val="32"/>
          <w:lang w:val="en-US" w:eastAsia="zh-CN"/>
        </w:rPr>
        <w:t>6</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4</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rPr>
        <w:t>日）至（202</w:t>
      </w:r>
      <w:r>
        <w:rPr>
          <w:rFonts w:hint="eastAsia" w:ascii="Times New Roman" w:hAnsi="Times New Roman" w:eastAsia="仿宋_GB2312" w:cs="Times New Roman"/>
          <w:sz w:val="32"/>
          <w:szCs w:val="32"/>
          <w:lang w:val="en-US" w:eastAsia="zh-CN"/>
        </w:rPr>
        <w:t>6</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4</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10</w:t>
      </w:r>
      <w:r>
        <w:rPr>
          <w:rFonts w:ascii="Times New Roman" w:hAnsi="Times New Roman" w:eastAsia="仿宋_GB2312" w:cs="Times New Roman"/>
          <w:sz w:val="32"/>
          <w:szCs w:val="32"/>
        </w:rPr>
        <w:t>日）止。在此期间，有意参与</w:t>
      </w:r>
      <w:r>
        <w:rPr>
          <w:rFonts w:hint="eastAsia" w:ascii="Times New Roman" w:hAnsi="Times New Roman" w:eastAsia="仿宋_GB2312" w:cs="Times New Roman"/>
          <w:sz w:val="32"/>
          <w:szCs w:val="32"/>
        </w:rPr>
        <w:t>本</w:t>
      </w:r>
      <w:r>
        <w:rPr>
          <w:rFonts w:ascii="Times New Roman" w:hAnsi="Times New Roman" w:eastAsia="仿宋_GB2312" w:cs="Times New Roman"/>
          <w:sz w:val="32"/>
          <w:szCs w:val="32"/>
        </w:rPr>
        <w:t>采办包的系统用户可在集团公司采办系统中提交反馈材料。</w:t>
      </w:r>
    </w:p>
    <w:p>
      <w:pPr>
        <w:tabs>
          <w:tab w:val="left" w:pos="993"/>
          <w:tab w:val="left" w:pos="1134"/>
          <w:tab w:val="left" w:pos="1418"/>
        </w:tabs>
        <w:spacing w:line="560" w:lineRule="exact"/>
        <w:ind w:firstLine="640" w:firstLineChars="200"/>
        <w:rPr>
          <w:rFonts w:ascii="Times New Roman" w:hAnsi="Times New Roman" w:eastAsia="仿宋_GB2312" w:cs="Times New Roman"/>
          <w:sz w:val="32"/>
          <w:szCs w:val="32"/>
        </w:rPr>
      </w:pPr>
    </w:p>
    <w:p>
      <w:pPr>
        <w:tabs>
          <w:tab w:val="left" w:pos="993"/>
          <w:tab w:val="left" w:pos="1134"/>
          <w:tab w:val="left" w:pos="1418"/>
        </w:tabs>
        <w:spacing w:line="560" w:lineRule="exact"/>
        <w:ind w:firstLine="640" w:firstLineChars="200"/>
        <w:rPr>
          <w:rFonts w:ascii="Times New Roman" w:hAnsi="Times New Roman" w:eastAsia="仿宋_GB2312" w:cs="Times New Roman"/>
          <w:sz w:val="32"/>
          <w:szCs w:val="32"/>
        </w:rPr>
      </w:pPr>
    </w:p>
    <w:p>
      <w:pPr>
        <w:tabs>
          <w:tab w:val="left" w:pos="993"/>
          <w:tab w:val="left" w:pos="1134"/>
          <w:tab w:val="left" w:pos="1418"/>
        </w:tabs>
        <w:spacing w:line="600" w:lineRule="exact"/>
        <w:ind w:right="320" w:firstLine="960" w:firstLineChars="300"/>
        <w:jc w:val="righ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中海油</w:t>
      </w:r>
      <w:r>
        <w:rPr>
          <w:rFonts w:ascii="Times New Roman" w:hAnsi="Times New Roman" w:eastAsia="仿宋_GB2312" w:cs="Times New Roman"/>
          <w:sz w:val="32"/>
          <w:szCs w:val="32"/>
        </w:rPr>
        <w:t>石化工程有限公司</w:t>
      </w:r>
    </w:p>
    <w:p>
      <w:pPr>
        <w:tabs>
          <w:tab w:val="left" w:pos="993"/>
          <w:tab w:val="left" w:pos="1134"/>
          <w:tab w:val="left" w:pos="1418"/>
        </w:tabs>
        <w:spacing w:line="600" w:lineRule="exact"/>
        <w:ind w:right="480" w:firstLine="960" w:firstLineChars="300"/>
        <w:jc w:val="righ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w:t>
      </w:r>
      <w:r>
        <w:rPr>
          <w:rFonts w:hint="eastAsia" w:ascii="Times New Roman" w:hAnsi="Times New Roman" w:eastAsia="仿宋_GB2312" w:cs="Times New Roman"/>
          <w:sz w:val="32"/>
          <w:szCs w:val="32"/>
          <w:lang w:val="en-US" w:eastAsia="zh-CN"/>
        </w:rPr>
        <w:t>6</w:t>
      </w:r>
      <w:r>
        <w:rPr>
          <w:rFonts w:ascii="Times New Roman" w:hAnsi="Times New Roman" w:eastAsia="仿宋_GB2312" w:cs="Times New Roman"/>
          <w:sz w:val="32"/>
          <w:szCs w:val="32"/>
        </w:rPr>
        <w:t>年0</w:t>
      </w:r>
      <w:r>
        <w:rPr>
          <w:rFonts w:hint="eastAsia" w:ascii="Times New Roman" w:hAnsi="Times New Roman" w:eastAsia="仿宋_GB2312" w:cs="Times New Roman"/>
          <w:sz w:val="32"/>
          <w:szCs w:val="32"/>
          <w:lang w:val="en-US" w:eastAsia="zh-CN"/>
        </w:rPr>
        <w:t>4</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03</w:t>
      </w:r>
      <w:r>
        <w:rPr>
          <w:rFonts w:ascii="Times New Roman" w:hAnsi="Times New Roman" w:eastAsia="仿宋_GB2312" w:cs="Times New Roman"/>
          <w:sz w:val="32"/>
          <w:szCs w:val="32"/>
        </w:rPr>
        <w:t xml:space="preserve">日  </w:t>
      </w:r>
      <w:bookmarkEnd w:id="0"/>
      <w:bookmarkEnd w:id="1"/>
    </w:p>
    <w:p>
      <w:pPr>
        <w:pStyle w:val="5"/>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pStyle w:val="5"/>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pStyle w:val="5"/>
        <w:rPr>
          <w:rFonts w:ascii="Times New Roman" w:hAnsi="Times New Roman" w:eastAsia="仿宋_GB2312" w:cs="Times New Roman"/>
          <w:sz w:val="32"/>
          <w:szCs w:val="32"/>
        </w:rPr>
      </w:pPr>
    </w:p>
    <w:p>
      <w:pPr>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156" w:beforeLines="50" w:after="156" w:afterLines="50"/>
        <w:ind w:firstLine="440"/>
        <w:jc w:val="left"/>
        <w:textAlignment w:val="auto"/>
        <w:rPr>
          <w:rFonts w:hint="default" w:ascii="Times New Roman" w:hAnsi="Times New Roman" w:eastAsia="宋体" w:cs="仿宋_GB2312"/>
          <w:color w:val="000000"/>
          <w:sz w:val="28"/>
          <w:szCs w:val="28"/>
          <w:highlight w:val="none"/>
          <w:lang w:val="en-US" w:eastAsia="zh-CN"/>
        </w:rPr>
      </w:pPr>
      <w:r>
        <w:rPr>
          <w:rFonts w:hint="eastAsia" w:ascii="Times New Roman" w:hAnsi="Times New Roman" w:eastAsia="宋体" w:cs="仿宋_GB2312"/>
          <w:color w:val="000000"/>
          <w:sz w:val="28"/>
          <w:szCs w:val="28"/>
          <w:highlight w:val="none"/>
          <w:lang w:val="en-US" w:eastAsia="zh-CN"/>
        </w:rPr>
        <w:t>附件1：工作范围和技术要求</w:t>
      </w:r>
    </w:p>
    <w:p>
      <w:pPr>
        <w:pStyle w:val="2"/>
        <w:numPr>
          <w:numId w:val="0"/>
        </w:numPr>
        <w:ind w:leftChars="0"/>
      </w:pPr>
    </w:p>
    <w:p>
      <w:pPr>
        <w:keepNext w:val="0"/>
        <w:keepLines w:val="0"/>
        <w:pageBreakBefore w:val="0"/>
        <w:widowControl w:val="0"/>
        <w:kinsoku/>
        <w:wordWrap/>
        <w:overflowPunct/>
        <w:topLinePunct w:val="0"/>
        <w:autoSpaceDE/>
        <w:autoSpaceDN/>
        <w:bidi w:val="0"/>
        <w:adjustRightInd/>
        <w:snapToGrid/>
        <w:spacing w:before="156" w:beforeLines="50" w:after="156" w:afterLines="50"/>
        <w:ind w:firstLine="0" w:firstLineChars="0"/>
        <w:textAlignment w:val="auto"/>
        <w:rPr>
          <w:rFonts w:ascii="Times New Roman" w:hAnsi="Times New Roman" w:eastAsia="宋体" w:cs="仿宋_GB2312"/>
          <w:color w:val="000000"/>
          <w:sz w:val="24"/>
          <w:szCs w:val="22"/>
          <w:highlight w:val="none"/>
        </w:rPr>
      </w:pPr>
      <w:r>
        <w:rPr>
          <w:rFonts w:hint="eastAsia" w:ascii="Times New Roman" w:hAnsi="Times New Roman" w:eastAsia="宋体" w:cs="仿宋_GB2312"/>
          <w:color w:val="000000"/>
          <w:highlight w:val="none"/>
        </w:rPr>
        <w:drawing>
          <wp:anchor distT="0" distB="0" distL="114300" distR="114300" simplePos="0" relativeHeight="251659264" behindDoc="1" locked="0" layoutInCell="1" allowOverlap="1">
            <wp:simplePos x="0" y="0"/>
            <wp:positionH relativeFrom="column">
              <wp:posOffset>51435</wp:posOffset>
            </wp:positionH>
            <wp:positionV relativeFrom="paragraph">
              <wp:posOffset>-179705</wp:posOffset>
            </wp:positionV>
            <wp:extent cx="1047750" cy="940435"/>
            <wp:effectExtent l="0" t="0" r="6350" b="12065"/>
            <wp:wrapTight wrapText="bothSides">
              <wp:wrapPolygon>
                <wp:start x="0" y="0"/>
                <wp:lineTo x="0" y="21294"/>
                <wp:lineTo x="21469" y="21294"/>
                <wp:lineTo x="2146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47750" cy="9404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6" w:beforeLines="50" w:after="156" w:afterLines="50"/>
        <w:ind w:left="0" w:leftChars="0" w:firstLine="0" w:firstLineChars="0"/>
        <w:jc w:val="both"/>
        <w:textAlignment w:val="auto"/>
        <w:rPr>
          <w:rFonts w:ascii="Times New Roman" w:hAnsi="Times New Roman" w:eastAsia="宋体" w:cs="仿宋_GB2312"/>
          <w:b/>
          <w:color w:val="000000"/>
          <w:sz w:val="36"/>
          <w:szCs w:val="36"/>
          <w:highlight w:val="none"/>
        </w:rPr>
      </w:pPr>
      <w:bookmarkStart w:id="259" w:name="_GoBack"/>
      <w:bookmarkEnd w:id="259"/>
      <w:r>
        <w:rPr>
          <w:rFonts w:hint="eastAsia" w:ascii="Times New Roman" w:hAnsi="Times New Roman" w:eastAsia="宋体" w:cs="仿宋_GB2312"/>
          <w:color w:val="000000"/>
          <w:highlight w:val="none"/>
        </w:rPr>
        <mc:AlternateContent>
          <mc:Choice Requires="wps">
            <w:drawing>
              <wp:anchor distT="0" distB="0" distL="114300" distR="114300" simplePos="0" relativeHeight="251660288" behindDoc="0" locked="0" layoutInCell="1" allowOverlap="1">
                <wp:simplePos x="0" y="0"/>
                <wp:positionH relativeFrom="column">
                  <wp:posOffset>3963035</wp:posOffset>
                </wp:positionH>
                <wp:positionV relativeFrom="paragraph">
                  <wp:posOffset>-309245</wp:posOffset>
                </wp:positionV>
                <wp:extent cx="1136650" cy="709930"/>
                <wp:effectExtent l="4445" t="4445" r="14605" b="952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136650" cy="709930"/>
                        </a:xfrm>
                        <a:prstGeom prst="rect">
                          <a:avLst/>
                        </a:prstGeom>
                        <a:solidFill>
                          <a:srgbClr val="FFFFFF"/>
                        </a:solidFill>
                        <a:ln w="9525">
                          <a:solidFill>
                            <a:srgbClr val="000000"/>
                          </a:solidFill>
                          <a:miter lim="800000"/>
                        </a:ln>
                      </wps:spPr>
                      <wps:txbx>
                        <w:txbxContent>
                          <w:p>
                            <w:pPr>
                              <w:spacing w:line="440" w:lineRule="exact"/>
                              <w:ind w:firstLine="0" w:firstLineChars="0"/>
                              <w:jc w:val="center"/>
                              <w:rPr>
                                <w:sz w:val="32"/>
                                <w:szCs w:val="32"/>
                              </w:rPr>
                            </w:pPr>
                            <w:r>
                              <w:rPr>
                                <w:rFonts w:hint="eastAsia"/>
                                <w:sz w:val="32"/>
                                <w:szCs w:val="32"/>
                              </w:rPr>
                              <w:t>内部资料注意保密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2.05pt;margin-top:-24.35pt;height:55.9pt;width:89.5pt;z-index:251660288;mso-width-relative:page;mso-height-relative:page;" fillcolor="#FFFFFF" filled="t" stroked="t" coordsize="21600,21600" o:gfxdata="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sPtErZAAAACgEAAA8AAAAAAAAAAQAgAAAAIgAA&#10;AGRycy9kb3ducmV2LnhtbFBLAQIUABQAAAAIAIdO4kDVOno+QAIAAIcEAAAOAAAAAAAAAAEAIAAA&#10;ACgBAABkcnMvZTJvRG9jLnhtbFBLBQYAAAAABgAGAFkBAADaBQAAAAA=&#10;">
                <v:fill on="t" focussize="0,0"/>
                <v:stroke color="#000000" miterlimit="8" joinstyle="miter"/>
                <v:imagedata o:title=""/>
                <o:lock v:ext="edit" aspectratio="f"/>
                <v:textbox>
                  <w:txbxContent>
                    <w:p>
                      <w:pPr>
                        <w:spacing w:line="440" w:lineRule="exact"/>
                        <w:ind w:firstLine="0" w:firstLineChars="0"/>
                        <w:jc w:val="center"/>
                        <w:rPr>
                          <w:sz w:val="32"/>
                          <w:szCs w:val="32"/>
                        </w:rPr>
                      </w:pPr>
                      <w:r>
                        <w:rPr>
                          <w:rFonts w:hint="eastAsia"/>
                          <w:sz w:val="32"/>
                          <w:szCs w:val="32"/>
                        </w:rPr>
                        <w:t>内部资料注意保密</w:t>
                      </w:r>
                    </w:p>
                  </w:txbxContent>
                </v:textbox>
              </v:shape>
            </w:pict>
          </mc:Fallback>
        </mc:AlternateContent>
      </w:r>
    </w:p>
    <w:p>
      <w:pPr>
        <w:pStyle w:val="5"/>
        <w:rPr>
          <w:rFonts w:ascii="Times New Roman" w:hAnsi="Times New Roman" w:eastAsia="宋体"/>
          <w:highlight w:val="none"/>
        </w:rPr>
      </w:pPr>
    </w:p>
    <w:p>
      <w:pPr>
        <w:keepNext w:val="0"/>
        <w:keepLines w:val="0"/>
        <w:pageBreakBefore w:val="0"/>
        <w:widowControl w:val="0"/>
        <w:kinsoku/>
        <w:wordWrap/>
        <w:overflowPunct/>
        <w:topLinePunct w:val="0"/>
        <w:autoSpaceDE/>
        <w:autoSpaceDN/>
        <w:bidi w:val="0"/>
        <w:adjustRightInd/>
        <w:snapToGrid/>
        <w:spacing w:before="156" w:beforeLines="50" w:after="156" w:afterLines="50"/>
        <w:ind w:firstLine="0" w:firstLineChars="0"/>
        <w:contextualSpacing w:val="0"/>
        <w:jc w:val="center"/>
        <w:textAlignment w:val="auto"/>
        <w:rPr>
          <w:rFonts w:hint="eastAsia" w:ascii="Times New Roman" w:hAnsi="Times New Roman" w:eastAsia="宋体" w:cs="宋体"/>
          <w:b/>
          <w:color w:val="000000"/>
          <w:sz w:val="44"/>
          <w:szCs w:val="48"/>
          <w:highlight w:val="none"/>
        </w:rPr>
      </w:pPr>
      <w:r>
        <w:rPr>
          <w:rFonts w:hint="eastAsia" w:ascii="Times New Roman" w:hAnsi="Times New Roman" w:eastAsia="宋体" w:cs="宋体"/>
          <w:b/>
          <w:color w:val="000000"/>
          <w:sz w:val="44"/>
          <w:szCs w:val="48"/>
          <w:highlight w:val="none"/>
        </w:rPr>
        <w:t>中海油石化工程有限公司</w:t>
      </w:r>
    </w:p>
    <w:p>
      <w:pPr>
        <w:keepNext w:val="0"/>
        <w:keepLines w:val="0"/>
        <w:pageBreakBefore w:val="0"/>
        <w:widowControl w:val="0"/>
        <w:kinsoku/>
        <w:wordWrap/>
        <w:overflowPunct/>
        <w:topLinePunct w:val="0"/>
        <w:autoSpaceDE/>
        <w:autoSpaceDN/>
        <w:bidi w:val="0"/>
        <w:adjustRightInd/>
        <w:snapToGrid/>
        <w:spacing w:before="156" w:beforeLines="50" w:after="156" w:afterLines="50"/>
        <w:ind w:firstLine="0" w:firstLineChars="0"/>
        <w:contextualSpacing w:val="0"/>
        <w:jc w:val="center"/>
        <w:textAlignment w:val="auto"/>
        <w:rPr>
          <w:rFonts w:ascii="宋体" w:hAnsi="宋体" w:eastAsia="宋体" w:cs="宋体"/>
          <w:b/>
          <w:sz w:val="52"/>
          <w:szCs w:val="52"/>
        </w:rPr>
      </w:pPr>
      <w:r>
        <w:rPr>
          <w:rFonts w:hint="eastAsia" w:ascii="宋体" w:hAnsi="宋体" w:eastAsia="宋体" w:cs="宋体"/>
          <w:b/>
          <w:sz w:val="44"/>
          <w:szCs w:val="44"/>
        </w:rPr>
        <w:t>中海壳牌惠州聚碳酸酯项目</w:t>
      </w:r>
    </w:p>
    <w:p>
      <w:pPr>
        <w:keepNext w:val="0"/>
        <w:keepLines w:val="0"/>
        <w:pageBreakBefore w:val="0"/>
        <w:widowControl w:val="0"/>
        <w:kinsoku/>
        <w:wordWrap/>
        <w:overflowPunct/>
        <w:topLinePunct w:val="0"/>
        <w:autoSpaceDE/>
        <w:autoSpaceDN/>
        <w:bidi w:val="0"/>
        <w:adjustRightInd/>
        <w:snapToGrid/>
        <w:spacing w:before="156" w:beforeLines="50" w:after="156" w:afterLines="50"/>
        <w:ind w:firstLine="0" w:firstLineChars="0"/>
        <w:contextualSpacing w:val="0"/>
        <w:jc w:val="center"/>
        <w:textAlignment w:val="auto"/>
        <w:rPr>
          <w:rFonts w:hint="default" w:ascii="Times New Roman" w:hAnsi="Times New Roman" w:eastAsia="宋体" w:cs="宋体"/>
          <w:b/>
          <w:color w:val="000000"/>
          <w:sz w:val="44"/>
          <w:szCs w:val="48"/>
          <w:highlight w:val="none"/>
          <w:lang w:val="en-US" w:eastAsia="zh-CN"/>
        </w:rPr>
      </w:pPr>
      <w:r>
        <w:rPr>
          <w:rFonts w:hint="eastAsia" w:ascii="宋体" w:hAnsi="宋体" w:eastAsia="宋体" w:cs="宋体"/>
          <w:b/>
          <w:bCs/>
          <w:sz w:val="44"/>
          <w:szCs w:val="44"/>
        </w:rPr>
        <w:t>智慧工地建设</w:t>
      </w:r>
      <w:r>
        <w:rPr>
          <w:rFonts w:hint="eastAsia" w:ascii="宋体" w:hAnsi="宋体" w:cs="宋体"/>
          <w:b/>
          <w:bCs/>
          <w:sz w:val="44"/>
          <w:szCs w:val="44"/>
          <w:lang w:val="en-US" w:eastAsia="zh-CN"/>
        </w:rPr>
        <w:t>工程施工</w:t>
      </w:r>
    </w:p>
    <w:p>
      <w:pPr>
        <w:keepNext w:val="0"/>
        <w:keepLines w:val="0"/>
        <w:pageBreakBefore w:val="0"/>
        <w:widowControl w:val="0"/>
        <w:kinsoku/>
        <w:wordWrap/>
        <w:overflowPunct/>
        <w:topLinePunct w:val="0"/>
        <w:autoSpaceDE/>
        <w:autoSpaceDN/>
        <w:bidi w:val="0"/>
        <w:adjustRightInd/>
        <w:snapToGrid/>
        <w:spacing w:before="156" w:beforeLines="50" w:after="156" w:afterLines="50"/>
        <w:ind w:firstLine="0" w:firstLineChars="0"/>
        <w:contextualSpacing w:val="0"/>
        <w:jc w:val="center"/>
        <w:textAlignment w:val="auto"/>
        <w:rPr>
          <w:rFonts w:hint="eastAsia" w:ascii="Times New Roman" w:hAnsi="Times New Roman" w:eastAsia="宋体" w:cs="宋体"/>
          <w:b/>
          <w:color w:val="000000"/>
          <w:sz w:val="44"/>
          <w:szCs w:val="48"/>
          <w:highlight w:val="none"/>
        </w:rPr>
      </w:pPr>
      <w:r>
        <w:rPr>
          <w:rFonts w:hint="eastAsia" w:ascii="Times New Roman" w:hAnsi="Times New Roman" w:eastAsia="宋体" w:cs="宋体"/>
          <w:b/>
          <w:color w:val="000000"/>
          <w:sz w:val="44"/>
          <w:szCs w:val="48"/>
          <w:highlight w:val="none"/>
        </w:rPr>
        <w:t>工作范围与技术要求</w:t>
      </w:r>
    </w:p>
    <w:p>
      <w:pPr>
        <w:keepNext w:val="0"/>
        <w:keepLines w:val="0"/>
        <w:pageBreakBefore w:val="0"/>
        <w:widowControl w:val="0"/>
        <w:kinsoku/>
        <w:wordWrap/>
        <w:overflowPunct/>
        <w:topLinePunct w:val="0"/>
        <w:autoSpaceDE/>
        <w:autoSpaceDN/>
        <w:bidi w:val="0"/>
        <w:adjustRightInd/>
        <w:snapToGrid/>
        <w:spacing w:before="156" w:beforeLines="50" w:after="156" w:afterLines="50"/>
        <w:ind w:firstLine="0" w:firstLineChars="0"/>
        <w:contextualSpacing w:val="0"/>
        <w:jc w:val="center"/>
        <w:textAlignment w:val="auto"/>
        <w:rPr>
          <w:rFonts w:hint="eastAsia" w:ascii="Times New Roman" w:hAnsi="Times New Roman" w:eastAsia="宋体" w:cs="宋体"/>
          <w:b/>
          <w:color w:val="000000"/>
          <w:sz w:val="44"/>
          <w:szCs w:val="48"/>
          <w:highlight w:val="none"/>
        </w:rPr>
      </w:pPr>
    </w:p>
    <w:p>
      <w:pPr>
        <w:spacing w:before="156" w:beforeLines="50" w:after="156" w:afterLines="50"/>
        <w:ind w:firstLine="420"/>
        <w:rPr>
          <w:rFonts w:ascii="Times New Roman" w:hAnsi="Times New Roman" w:eastAsia="宋体" w:cs="仿宋_GB2312"/>
          <w:color w:val="000000"/>
          <w:sz w:val="21"/>
          <w:highlight w:val="none"/>
        </w:rPr>
      </w:pPr>
    </w:p>
    <w:p>
      <w:pPr>
        <w:pStyle w:val="5"/>
        <w:rPr>
          <w:rFonts w:ascii="Times New Roman" w:hAnsi="Times New Roman" w:eastAsia="宋体" w:cs="仿宋_GB2312"/>
          <w:highlight w:val="none"/>
        </w:rPr>
      </w:pPr>
    </w:p>
    <w:p>
      <w:pPr>
        <w:pStyle w:val="6"/>
        <w:ind w:left="4620" w:firstLine="440"/>
        <w:rPr>
          <w:rFonts w:ascii="Times New Roman" w:hAnsi="Times New Roman" w:eastAsia="宋体" w:cs="仿宋_GB2312"/>
          <w:highlight w:val="none"/>
        </w:rPr>
      </w:pPr>
    </w:p>
    <w:p>
      <w:pPr>
        <w:spacing w:before="312" w:beforeLines="100" w:after="312" w:afterLines="100"/>
        <w:ind w:firstLine="720"/>
        <w:jc w:val="center"/>
        <w:rPr>
          <w:rFonts w:ascii="Times New Roman" w:hAnsi="Times New Roman" w:eastAsia="宋体" w:cs="仿宋_GB2312"/>
          <w:sz w:val="36"/>
          <w:szCs w:val="36"/>
          <w:highlight w:val="none"/>
        </w:rPr>
      </w:pPr>
    </w:p>
    <w:p>
      <w:pPr>
        <w:pStyle w:val="6"/>
        <w:ind w:left="4620" w:firstLine="720"/>
        <w:rPr>
          <w:rFonts w:ascii="Times New Roman" w:hAnsi="Times New Roman" w:eastAsia="宋体" w:cs="仿宋_GB2312"/>
          <w:sz w:val="36"/>
          <w:szCs w:val="36"/>
          <w:highlight w:val="none"/>
        </w:rPr>
      </w:pPr>
    </w:p>
    <w:p>
      <w:pPr>
        <w:pStyle w:val="5"/>
        <w:rPr>
          <w:rFonts w:ascii="Times New Roman" w:hAnsi="Times New Roman" w:eastAsia="宋体" w:cs="仿宋_GB2312"/>
          <w:highlight w:val="none"/>
        </w:rPr>
      </w:pPr>
    </w:p>
    <w:tbl>
      <w:tblPr>
        <w:tblStyle w:val="15"/>
        <w:tblW w:w="7787" w:type="dxa"/>
        <w:jc w:val="center"/>
        <w:tblLayout w:type="autofit"/>
        <w:tblCellMar>
          <w:top w:w="0" w:type="dxa"/>
          <w:left w:w="108" w:type="dxa"/>
          <w:bottom w:w="0" w:type="dxa"/>
          <w:right w:w="108" w:type="dxa"/>
        </w:tblCellMar>
      </w:tblPr>
      <w:tblGrid>
        <w:gridCol w:w="1080"/>
        <w:gridCol w:w="1080"/>
        <w:gridCol w:w="1080"/>
        <w:gridCol w:w="1080"/>
        <w:gridCol w:w="1080"/>
        <w:gridCol w:w="1080"/>
        <w:gridCol w:w="1307"/>
      </w:tblGrid>
      <w:tr>
        <w:tblPrEx>
          <w:tblCellMar>
            <w:top w:w="0" w:type="dxa"/>
            <w:left w:w="108" w:type="dxa"/>
            <w:bottom w:w="0" w:type="dxa"/>
            <w:right w:w="108" w:type="dxa"/>
          </w:tblCellMar>
        </w:tblPrEx>
        <w:trPr>
          <w:trHeight w:val="300" w:hRule="atLeast"/>
          <w:jc w:val="center"/>
        </w:trPr>
        <w:tc>
          <w:tcPr>
            <w:tcW w:w="1080" w:type="dxa"/>
            <w:tcBorders>
              <w:top w:val="single" w:color="auto" w:sz="8" w:space="0"/>
              <w:left w:val="single" w:color="auto" w:sz="8" w:space="0"/>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080" w:type="dxa"/>
            <w:tcBorders>
              <w:top w:val="single" w:color="auto" w:sz="8" w:space="0"/>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080" w:type="dxa"/>
            <w:tcBorders>
              <w:top w:val="single" w:color="auto" w:sz="8" w:space="0"/>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080" w:type="dxa"/>
            <w:tcBorders>
              <w:top w:val="single" w:color="auto" w:sz="8" w:space="0"/>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080" w:type="dxa"/>
            <w:tcBorders>
              <w:top w:val="single" w:color="auto" w:sz="8" w:space="0"/>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080" w:type="dxa"/>
            <w:tcBorders>
              <w:top w:val="single" w:color="auto" w:sz="8" w:space="0"/>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307" w:type="dxa"/>
            <w:tcBorders>
              <w:top w:val="single" w:color="auto" w:sz="8" w:space="0"/>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307" w:type="dxa"/>
            <w:tcBorders>
              <w:top w:val="nil"/>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ind w:firstLine="0" w:firstLineChars="0"/>
              <w:jc w:val="center"/>
              <w:rPr>
                <w:rFonts w:ascii="Times New Roman" w:hAnsi="Times New Roman" w:eastAsia="宋体" w:cs="仿宋_GB2312"/>
                <w:color w:val="000000"/>
                <w:kern w:val="0"/>
                <w:szCs w:val="24"/>
                <w:highlight w:val="none"/>
              </w:rPr>
            </w:pPr>
            <w:r>
              <w:rPr>
                <w:rFonts w:hint="eastAsia" w:ascii="Times New Roman" w:hAnsi="Times New Roman" w:eastAsia="宋体" w:cs="仿宋_GB2312"/>
                <w:color w:val="000000"/>
                <w:kern w:val="0"/>
                <w:szCs w:val="24"/>
                <w:highlight w:val="none"/>
              </w:rPr>
              <w:t>0</w:t>
            </w: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center"/>
              <w:rPr>
                <w:rFonts w:ascii="Times New Roman" w:hAnsi="Times New Roman" w:eastAsia="宋体" w:cs="仿宋_GB2312"/>
                <w:color w:val="000000"/>
                <w:kern w:val="0"/>
                <w:szCs w:val="24"/>
                <w:highlight w:val="none"/>
              </w:rPr>
            </w:pPr>
            <w:r>
              <w:rPr>
                <w:rFonts w:hint="eastAsia" w:ascii="Times New Roman" w:hAnsi="Times New Roman" w:eastAsia="宋体" w:cs="仿宋_GB2312"/>
                <w:color w:val="000000"/>
                <w:kern w:val="0"/>
                <w:szCs w:val="24"/>
                <w:highlight w:val="none"/>
              </w:rPr>
              <w:t>供招标</w:t>
            </w: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left"/>
              <w:rPr>
                <w:rFonts w:ascii="Times New Roman" w:hAnsi="Times New Roman" w:eastAsia="宋体" w:cs="仿宋_GB2312"/>
                <w:color w:val="000000"/>
                <w:kern w:val="0"/>
                <w:szCs w:val="24"/>
                <w:highlight w:val="none"/>
              </w:rPr>
            </w:pPr>
          </w:p>
        </w:tc>
        <w:tc>
          <w:tcPr>
            <w:tcW w:w="1307" w:type="dxa"/>
            <w:tcBorders>
              <w:top w:val="nil"/>
              <w:left w:val="nil"/>
              <w:bottom w:val="single" w:color="auto" w:sz="8" w:space="0"/>
              <w:right w:val="single" w:color="auto" w:sz="8" w:space="0"/>
            </w:tcBorders>
            <w:shd w:val="clear" w:color="000000" w:fill="FFFFFF"/>
            <w:vAlign w:val="center"/>
          </w:tcPr>
          <w:p>
            <w:pPr>
              <w:widowControl/>
              <w:ind w:firstLine="0" w:firstLineChars="0"/>
              <w:jc w:val="center"/>
              <w:rPr>
                <w:rFonts w:hint="default" w:ascii="Times New Roman" w:hAnsi="Times New Roman" w:eastAsia="宋体" w:cs="仿宋_GB2312"/>
                <w:color w:val="000000"/>
                <w:kern w:val="0"/>
                <w:szCs w:val="24"/>
                <w:highlight w:val="none"/>
                <w:lang w:val="en-US" w:eastAsia="zh-CN"/>
              </w:rPr>
            </w:pPr>
            <w:r>
              <w:rPr>
                <w:rFonts w:hint="eastAsia" w:ascii="Times New Roman" w:hAnsi="Times New Roman" w:eastAsia="宋体" w:cs="仿宋_GB2312"/>
                <w:color w:val="000000"/>
                <w:kern w:val="0"/>
                <w:szCs w:val="24"/>
                <w:highlight w:val="none"/>
              </w:rPr>
              <w:t>202</w:t>
            </w:r>
            <w:r>
              <w:rPr>
                <w:rFonts w:hint="eastAsia" w:cs="仿宋_GB2312"/>
                <w:color w:val="000000"/>
                <w:kern w:val="0"/>
                <w:szCs w:val="24"/>
                <w:highlight w:val="none"/>
                <w:lang w:val="en-US" w:eastAsia="zh-CN"/>
              </w:rPr>
              <w:t>6</w:t>
            </w:r>
            <w:r>
              <w:rPr>
                <w:rFonts w:hint="eastAsia" w:ascii="Times New Roman" w:hAnsi="Times New Roman" w:eastAsia="宋体" w:cs="仿宋_GB2312"/>
                <w:color w:val="000000"/>
                <w:kern w:val="0"/>
                <w:szCs w:val="24"/>
                <w:highlight w:val="none"/>
              </w:rPr>
              <w:t>0</w:t>
            </w:r>
            <w:r>
              <w:rPr>
                <w:rFonts w:hint="eastAsia" w:cs="仿宋_GB2312"/>
                <w:color w:val="000000"/>
                <w:kern w:val="0"/>
                <w:szCs w:val="24"/>
                <w:highlight w:val="none"/>
                <w:lang w:val="en-US" w:eastAsia="zh-CN"/>
              </w:rPr>
              <w:t>402</w:t>
            </w:r>
          </w:p>
        </w:tc>
      </w:tr>
      <w:tr>
        <w:tblPrEx>
          <w:tblCellMar>
            <w:top w:w="0" w:type="dxa"/>
            <w:left w:w="108" w:type="dxa"/>
            <w:bottom w:w="0" w:type="dxa"/>
            <w:right w:w="108" w:type="dxa"/>
          </w:tblCellMar>
        </w:tblPrEx>
        <w:trPr>
          <w:trHeight w:val="5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ind w:firstLine="0" w:firstLineChars="0"/>
              <w:jc w:val="center"/>
              <w:rPr>
                <w:rFonts w:ascii="Times New Roman" w:hAnsi="Times New Roman" w:eastAsia="宋体" w:cs="仿宋_GB2312"/>
                <w:color w:val="000000"/>
                <w:kern w:val="0"/>
                <w:szCs w:val="24"/>
                <w:highlight w:val="none"/>
              </w:rPr>
            </w:pPr>
            <w:r>
              <w:rPr>
                <w:rFonts w:hint="eastAsia" w:ascii="Times New Roman" w:hAnsi="Times New Roman" w:eastAsia="宋体" w:cs="仿宋_GB2312"/>
                <w:color w:val="000000"/>
                <w:kern w:val="0"/>
                <w:sz w:val="21"/>
                <w:szCs w:val="24"/>
                <w:highlight w:val="none"/>
              </w:rPr>
              <w:t>版次</w:t>
            </w: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center"/>
              <w:rPr>
                <w:rFonts w:ascii="Times New Roman" w:hAnsi="Times New Roman" w:eastAsia="宋体" w:cs="仿宋_GB2312"/>
                <w:color w:val="000000"/>
                <w:kern w:val="0"/>
                <w:szCs w:val="24"/>
                <w:highlight w:val="none"/>
              </w:rPr>
            </w:pPr>
            <w:r>
              <w:rPr>
                <w:rFonts w:hint="eastAsia" w:ascii="Times New Roman" w:hAnsi="Times New Roman" w:eastAsia="宋体" w:cs="仿宋_GB2312"/>
                <w:color w:val="000000"/>
                <w:kern w:val="0"/>
                <w:sz w:val="21"/>
                <w:szCs w:val="24"/>
                <w:highlight w:val="none"/>
              </w:rPr>
              <w:t>说明</w:t>
            </w: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center"/>
              <w:rPr>
                <w:rFonts w:ascii="Times New Roman" w:hAnsi="Times New Roman" w:eastAsia="宋体" w:cs="仿宋_GB2312"/>
                <w:color w:val="000000"/>
                <w:kern w:val="0"/>
                <w:szCs w:val="24"/>
                <w:highlight w:val="none"/>
              </w:rPr>
            </w:pPr>
            <w:r>
              <w:rPr>
                <w:rFonts w:hint="eastAsia" w:ascii="Times New Roman" w:hAnsi="Times New Roman" w:eastAsia="宋体" w:cs="仿宋_GB2312"/>
                <w:color w:val="000000"/>
                <w:kern w:val="0"/>
                <w:sz w:val="21"/>
                <w:szCs w:val="24"/>
                <w:highlight w:val="none"/>
              </w:rPr>
              <w:t>编制</w:t>
            </w: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center"/>
              <w:rPr>
                <w:rFonts w:ascii="Times New Roman" w:hAnsi="Times New Roman" w:eastAsia="宋体" w:cs="仿宋_GB2312"/>
                <w:color w:val="000000"/>
                <w:kern w:val="0"/>
                <w:sz w:val="21"/>
                <w:szCs w:val="24"/>
                <w:highlight w:val="none"/>
              </w:rPr>
            </w:pPr>
            <w:r>
              <w:rPr>
                <w:rFonts w:hint="eastAsia" w:ascii="Times New Roman" w:hAnsi="Times New Roman" w:eastAsia="宋体" w:cs="仿宋_GB2312"/>
                <w:color w:val="000000"/>
                <w:kern w:val="0"/>
                <w:sz w:val="21"/>
                <w:szCs w:val="24"/>
                <w:highlight w:val="none"/>
              </w:rPr>
              <w:t>校核</w:t>
            </w: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center"/>
              <w:rPr>
                <w:rFonts w:ascii="Times New Roman" w:hAnsi="Times New Roman" w:eastAsia="宋体" w:cs="仿宋_GB2312"/>
                <w:color w:val="000000"/>
                <w:kern w:val="0"/>
                <w:szCs w:val="24"/>
                <w:highlight w:val="none"/>
              </w:rPr>
            </w:pPr>
            <w:r>
              <w:rPr>
                <w:rFonts w:hint="eastAsia" w:ascii="Times New Roman" w:hAnsi="Times New Roman" w:eastAsia="宋体" w:cs="仿宋_GB2312"/>
                <w:color w:val="000000"/>
                <w:kern w:val="0"/>
                <w:sz w:val="21"/>
                <w:szCs w:val="24"/>
                <w:highlight w:val="none"/>
              </w:rPr>
              <w:t>审核</w:t>
            </w:r>
          </w:p>
        </w:tc>
        <w:tc>
          <w:tcPr>
            <w:tcW w:w="1080" w:type="dxa"/>
            <w:tcBorders>
              <w:top w:val="nil"/>
              <w:left w:val="nil"/>
              <w:bottom w:val="single" w:color="auto" w:sz="8" w:space="0"/>
              <w:right w:val="single" w:color="auto" w:sz="8" w:space="0"/>
            </w:tcBorders>
            <w:shd w:val="clear" w:color="000000" w:fill="FFFFFF"/>
            <w:vAlign w:val="center"/>
          </w:tcPr>
          <w:p>
            <w:pPr>
              <w:widowControl/>
              <w:ind w:firstLine="0" w:firstLineChars="0"/>
              <w:jc w:val="center"/>
              <w:rPr>
                <w:rFonts w:ascii="Times New Roman" w:hAnsi="Times New Roman" w:eastAsia="宋体" w:cs="仿宋_GB2312"/>
                <w:color w:val="000000"/>
                <w:kern w:val="0"/>
                <w:szCs w:val="24"/>
                <w:highlight w:val="none"/>
              </w:rPr>
            </w:pPr>
            <w:r>
              <w:rPr>
                <w:rFonts w:hint="eastAsia" w:ascii="Times New Roman" w:hAnsi="Times New Roman" w:eastAsia="宋体" w:cs="仿宋_GB2312"/>
                <w:color w:val="000000"/>
                <w:kern w:val="0"/>
                <w:sz w:val="21"/>
                <w:szCs w:val="24"/>
                <w:highlight w:val="none"/>
              </w:rPr>
              <w:t>批准</w:t>
            </w:r>
          </w:p>
        </w:tc>
        <w:tc>
          <w:tcPr>
            <w:tcW w:w="1307" w:type="dxa"/>
            <w:tcBorders>
              <w:top w:val="nil"/>
              <w:left w:val="nil"/>
              <w:bottom w:val="single" w:color="auto" w:sz="8" w:space="0"/>
              <w:right w:val="single" w:color="auto" w:sz="8" w:space="0"/>
            </w:tcBorders>
            <w:shd w:val="clear" w:color="000000" w:fill="FFFFFF"/>
            <w:vAlign w:val="center"/>
          </w:tcPr>
          <w:p>
            <w:pPr>
              <w:widowControl/>
              <w:ind w:firstLine="0" w:firstLineChars="0"/>
              <w:jc w:val="center"/>
              <w:rPr>
                <w:rFonts w:ascii="Times New Roman" w:hAnsi="Times New Roman" w:eastAsia="宋体" w:cs="仿宋_GB2312"/>
                <w:color w:val="000000"/>
                <w:kern w:val="0"/>
                <w:sz w:val="21"/>
                <w:szCs w:val="24"/>
                <w:highlight w:val="none"/>
              </w:rPr>
            </w:pPr>
            <w:r>
              <w:rPr>
                <w:rFonts w:hint="eastAsia" w:ascii="Times New Roman" w:hAnsi="Times New Roman" w:eastAsia="宋体" w:cs="仿宋_GB2312"/>
                <w:color w:val="000000"/>
                <w:kern w:val="0"/>
                <w:sz w:val="21"/>
                <w:szCs w:val="24"/>
                <w:highlight w:val="none"/>
              </w:rPr>
              <w:t>完成日期</w:t>
            </w:r>
          </w:p>
        </w:tc>
      </w:tr>
    </w:tbl>
    <w:p>
      <w:pPr>
        <w:pStyle w:val="3"/>
        <w:tabs>
          <w:tab w:val="left" w:pos="0"/>
        </w:tabs>
        <w:ind w:left="-2" w:firstLine="2" w:firstLineChars="0"/>
        <w:rPr>
          <w:rFonts w:ascii="Times New Roman" w:hAnsi="Times New Roman" w:eastAsia="宋体" w:cs="仿宋_GB231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cols w:space="425" w:num="1"/>
          <w:docGrid w:type="lines" w:linePitch="312" w:charSpace="0"/>
        </w:sectPr>
      </w:pPr>
      <w:bookmarkStart w:id="2" w:name="_Toc341946483"/>
      <w:bookmarkStart w:id="3" w:name="_Toc341790490"/>
      <w:bookmarkStart w:id="4" w:name="_Toc341790838"/>
      <w:bookmarkStart w:id="5" w:name="_Toc395886661"/>
      <w:bookmarkStart w:id="6" w:name="_Toc341200664"/>
      <w:bookmarkStart w:id="7" w:name="_Toc217912468"/>
    </w:p>
    <w:p>
      <w:pPr>
        <w:tabs>
          <w:tab w:val="left" w:pos="360"/>
        </w:tabs>
        <w:spacing w:before="163" w:beforeLines="50" w:after="326" w:afterLines="100" w:line="360" w:lineRule="auto"/>
        <w:ind w:firstLine="480"/>
        <w:contextualSpacing w:val="0"/>
        <w:jc w:val="center"/>
        <w:rPr>
          <w:rFonts w:hint="eastAsia" w:ascii="Times New Roman" w:hAnsi="Times New Roman" w:eastAsia="黑体" w:cs="Times New Roman"/>
          <w:b/>
          <w:sz w:val="32"/>
          <w:szCs w:val="32"/>
          <w:highlight w:val="none"/>
          <w:lang w:val="zh-CN"/>
        </w:rPr>
      </w:pPr>
      <w:r>
        <w:rPr>
          <w:rFonts w:hint="eastAsia" w:ascii="Times New Roman" w:hAnsi="Times New Roman" w:eastAsia="黑体" w:cs="Times New Roman"/>
          <w:b/>
          <w:sz w:val="32"/>
          <w:szCs w:val="32"/>
          <w:highlight w:val="none"/>
          <w:lang w:val="zh-CN"/>
        </w:rPr>
        <w:t>目</w:t>
      </w:r>
      <w:r>
        <w:rPr>
          <w:rFonts w:hint="eastAsia" w:ascii="Times New Roman" w:hAnsi="Times New Roman" w:eastAsia="黑体" w:cs="Times New Roman"/>
          <w:b/>
          <w:sz w:val="32"/>
          <w:szCs w:val="32"/>
          <w:highlight w:val="none"/>
          <w:lang w:val="en-US" w:eastAsia="zh-CN"/>
        </w:rPr>
        <w:t xml:space="preserve">  </w:t>
      </w:r>
      <w:r>
        <w:rPr>
          <w:rFonts w:hint="eastAsia" w:ascii="Times New Roman" w:hAnsi="Times New Roman" w:eastAsia="黑体" w:cs="Times New Roman"/>
          <w:b/>
          <w:sz w:val="32"/>
          <w:szCs w:val="32"/>
          <w:highlight w:val="none"/>
          <w:lang w:val="zh-CN"/>
        </w:rPr>
        <w:t>录</w:t>
      </w:r>
    </w:p>
    <w:p>
      <w:pPr>
        <w:pStyle w:val="12"/>
        <w:tabs>
          <w:tab w:val="right" w:leader="dot" w:pos="9072"/>
          <w:tab w:val="clear" w:pos="8296"/>
        </w:tabs>
      </w:pPr>
      <w:r>
        <w:rPr>
          <w:rFonts w:ascii="Times New Roman" w:hAnsi="Times New Roman" w:eastAsia="宋体"/>
          <w:highlight w:val="none"/>
        </w:rPr>
        <w:fldChar w:fldCharType="begin"/>
      </w:r>
      <w:r>
        <w:rPr>
          <w:rFonts w:ascii="Times New Roman" w:hAnsi="Times New Roman" w:eastAsia="宋体"/>
          <w:highlight w:val="none"/>
        </w:rPr>
        <w:instrText xml:space="preserve">TOC \o "1-4" \f \t "标题 6,6,标题 7,7,标题 8,8,标题 9,9" \h \u </w:instrText>
      </w:r>
      <w:r>
        <w:rPr>
          <w:rFonts w:ascii="Times New Roman" w:hAnsi="Times New Roman" w:eastAsia="宋体"/>
          <w:highlight w:val="none"/>
        </w:rPr>
        <w:fldChar w:fldCharType="separate"/>
      </w:r>
      <w:r>
        <w:rPr>
          <w:rFonts w:ascii="Times New Roman" w:hAnsi="Times New Roman" w:eastAsia="宋体"/>
          <w:highlight w:val="none"/>
        </w:rPr>
        <w:fldChar w:fldCharType="begin"/>
      </w:r>
      <w:r>
        <w:rPr>
          <w:rFonts w:ascii="Times New Roman" w:hAnsi="Times New Roman" w:eastAsia="宋体"/>
          <w:highlight w:val="none"/>
        </w:rPr>
        <w:instrText xml:space="preserve"> HYPERLINK \l _Toc28513 </w:instrText>
      </w:r>
      <w:r>
        <w:rPr>
          <w:rFonts w:ascii="Times New Roman" w:hAnsi="Times New Roman" w:eastAsia="宋体"/>
          <w:highlight w:val="none"/>
        </w:rPr>
        <w:fldChar w:fldCharType="separate"/>
      </w:r>
      <w:r>
        <w:rPr>
          <w:rFonts w:hint="eastAsia"/>
        </w:rPr>
        <w:t xml:space="preserve">1. </w:t>
      </w:r>
      <w:r>
        <w:rPr>
          <w:rFonts w:hint="eastAsia"/>
          <w:highlight w:val="none"/>
          <w:lang w:val="en-US" w:eastAsia="zh-CN"/>
        </w:rPr>
        <w:t>项目建设目标</w:t>
      </w:r>
      <w:r>
        <w:tab/>
      </w:r>
      <w:r>
        <w:fldChar w:fldCharType="begin"/>
      </w:r>
      <w:r>
        <w:instrText xml:space="preserve"> PAGEREF _Toc28513 \h </w:instrText>
      </w:r>
      <w:r>
        <w:fldChar w:fldCharType="separate"/>
      </w:r>
      <w:r>
        <w:t>1</w:t>
      </w:r>
      <w:r>
        <w:fldChar w:fldCharType="end"/>
      </w:r>
      <w:r>
        <w:rPr>
          <w:rFonts w:ascii="Times New Roman" w:hAnsi="Times New Roman" w:eastAsia="宋体"/>
          <w:highlight w:val="none"/>
        </w:rPr>
        <w:fldChar w:fldCharType="end"/>
      </w:r>
    </w:p>
    <w:p>
      <w:pPr>
        <w:pStyle w:val="12"/>
        <w:tabs>
          <w:tab w:val="right" w:leader="dot" w:pos="9072"/>
          <w:tab w:val="clear" w:pos="8296"/>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_Toc9683 </w:instrText>
      </w:r>
      <w:r>
        <w:rPr>
          <w:rFonts w:ascii="Times New Roman" w:hAnsi="Times New Roman" w:eastAsia="宋体"/>
          <w:highlight w:val="none"/>
        </w:rPr>
        <w:fldChar w:fldCharType="separate"/>
      </w:r>
      <w:r>
        <w:rPr>
          <w:rFonts w:hint="eastAsia"/>
        </w:rPr>
        <w:t xml:space="preserve">2. </w:t>
      </w:r>
      <w:r>
        <w:rPr>
          <w:rFonts w:hint="eastAsia"/>
          <w:highlight w:val="none"/>
        </w:rPr>
        <w:t>项目总体要求</w:t>
      </w:r>
      <w:r>
        <w:tab/>
      </w:r>
      <w:r>
        <w:fldChar w:fldCharType="begin"/>
      </w:r>
      <w:r>
        <w:instrText xml:space="preserve"> PAGEREF _Toc9683 \h </w:instrText>
      </w:r>
      <w:r>
        <w:fldChar w:fldCharType="separate"/>
      </w:r>
      <w:r>
        <w:t>1</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_Toc9203 </w:instrText>
      </w:r>
      <w:r>
        <w:rPr>
          <w:rFonts w:ascii="Times New Roman" w:hAnsi="Times New Roman" w:eastAsia="宋体"/>
          <w:highlight w:val="none"/>
        </w:rPr>
        <w:fldChar w:fldCharType="separate"/>
      </w:r>
      <w:r>
        <w:rPr>
          <w:rFonts w:hint="default" w:ascii="Times New Roman" w:hAnsi="Times New Roman" w:eastAsia="宋体" w:cs="宋体"/>
        </w:rPr>
        <w:t xml:space="preserve">2.2 </w:t>
      </w:r>
      <w:r>
        <w:rPr>
          <w:rFonts w:hint="eastAsia"/>
          <w:highlight w:val="none"/>
        </w:rPr>
        <w:t>规程和标准</w:t>
      </w:r>
      <w:r>
        <w:tab/>
      </w:r>
      <w:r>
        <w:fldChar w:fldCharType="begin"/>
      </w:r>
      <w:r>
        <w:instrText xml:space="preserve"> PAGEREF _Toc9203 \h </w:instrText>
      </w:r>
      <w:r>
        <w:fldChar w:fldCharType="separate"/>
      </w:r>
      <w:r>
        <w:t>1</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_Toc26206 </w:instrText>
      </w:r>
      <w:r>
        <w:rPr>
          <w:rFonts w:ascii="Times New Roman" w:hAnsi="Times New Roman" w:eastAsia="宋体"/>
          <w:highlight w:val="none"/>
        </w:rPr>
        <w:fldChar w:fldCharType="separate"/>
      </w:r>
      <w:r>
        <w:rPr>
          <w:rFonts w:hint="default" w:ascii="Times New Roman" w:hAnsi="Times New Roman" w:eastAsia="宋体" w:cs="宋体"/>
        </w:rPr>
        <w:t xml:space="preserve">2.3 </w:t>
      </w:r>
      <w:r>
        <w:rPr>
          <w:rFonts w:hint="eastAsia"/>
          <w:highlight w:val="none"/>
        </w:rPr>
        <w:t>实施原则要求</w:t>
      </w:r>
      <w:r>
        <w:tab/>
      </w:r>
      <w:r>
        <w:fldChar w:fldCharType="begin"/>
      </w:r>
      <w:r>
        <w:instrText xml:space="preserve"> PAGEREF _Toc26206 \h </w:instrText>
      </w:r>
      <w:r>
        <w:fldChar w:fldCharType="separate"/>
      </w:r>
      <w:r>
        <w:t>1</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_Toc17706 </w:instrText>
      </w:r>
      <w:r>
        <w:rPr>
          <w:rFonts w:ascii="Times New Roman" w:hAnsi="Times New Roman" w:eastAsia="宋体"/>
          <w:highlight w:val="none"/>
        </w:rPr>
        <w:fldChar w:fldCharType="separate"/>
      </w:r>
      <w:r>
        <w:rPr>
          <w:rFonts w:hint="default" w:ascii="Times New Roman" w:hAnsi="Times New Roman" w:eastAsia="宋体" w:cs="宋体"/>
        </w:rPr>
        <w:t xml:space="preserve">2.4 </w:t>
      </w:r>
      <w:r>
        <w:rPr>
          <w:rFonts w:hint="eastAsia"/>
          <w:highlight w:val="none"/>
        </w:rPr>
        <w:t>工作范围</w:t>
      </w:r>
      <w:r>
        <w:tab/>
      </w:r>
      <w:r>
        <w:fldChar w:fldCharType="begin"/>
      </w:r>
      <w:r>
        <w:instrText xml:space="preserve"> PAGEREF _Toc17706 \h </w:instrText>
      </w:r>
      <w:r>
        <w:fldChar w:fldCharType="separate"/>
      </w:r>
      <w:r>
        <w:t>3</w:t>
      </w:r>
      <w:r>
        <w:fldChar w:fldCharType="end"/>
      </w:r>
      <w:r>
        <w:rPr>
          <w:rFonts w:ascii="Times New Roman" w:hAnsi="Times New Roman" w:eastAsia="宋体"/>
          <w:highlight w:val="none"/>
        </w:rPr>
        <w:fldChar w:fldCharType="end"/>
      </w:r>
    </w:p>
    <w:p>
      <w:pPr>
        <w:pStyle w:val="12"/>
        <w:tabs>
          <w:tab w:val="right" w:leader="dot" w:pos="9072"/>
          <w:tab w:val="clear" w:pos="8296"/>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_Toc24917 </w:instrText>
      </w:r>
      <w:r>
        <w:rPr>
          <w:rFonts w:ascii="Times New Roman" w:hAnsi="Times New Roman" w:eastAsia="宋体"/>
          <w:highlight w:val="none"/>
        </w:rPr>
        <w:fldChar w:fldCharType="separate"/>
      </w:r>
      <w:r>
        <w:rPr>
          <w:rFonts w:hint="eastAsia"/>
        </w:rPr>
        <w:t xml:space="preserve">3. </w:t>
      </w:r>
      <w:r>
        <w:rPr>
          <w:rFonts w:hint="eastAsia"/>
          <w:highlight w:val="none"/>
        </w:rPr>
        <w:t>项目方案与管理</w:t>
      </w:r>
      <w:r>
        <w:tab/>
      </w:r>
      <w:r>
        <w:fldChar w:fldCharType="begin"/>
      </w:r>
      <w:r>
        <w:instrText xml:space="preserve"> PAGEREF _Toc24917 \h </w:instrText>
      </w:r>
      <w:r>
        <w:fldChar w:fldCharType="separate"/>
      </w:r>
      <w:r>
        <w:t>4</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_Toc8981 </w:instrText>
      </w:r>
      <w:r>
        <w:rPr>
          <w:rFonts w:ascii="Times New Roman" w:hAnsi="Times New Roman" w:eastAsia="宋体"/>
          <w:highlight w:val="none"/>
        </w:rPr>
        <w:fldChar w:fldCharType="separate"/>
      </w:r>
      <w:r>
        <w:rPr>
          <w:rFonts w:hint="default" w:ascii="Times New Roman" w:hAnsi="Times New Roman" w:eastAsia="宋体" w:cs="宋体"/>
        </w:rPr>
        <w:t xml:space="preserve">3.2 </w:t>
      </w:r>
      <w:r>
        <w:rPr>
          <w:rFonts w:hint="eastAsia"/>
          <w:highlight w:val="none"/>
        </w:rPr>
        <w:t>项目计划</w:t>
      </w:r>
      <w:r>
        <w:tab/>
      </w:r>
      <w:r>
        <w:fldChar w:fldCharType="begin"/>
      </w:r>
      <w:r>
        <w:instrText xml:space="preserve"> PAGEREF _Toc8981 \h </w:instrText>
      </w:r>
      <w:r>
        <w:fldChar w:fldCharType="separate"/>
      </w:r>
      <w:r>
        <w:t>5</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_Toc6972 </w:instrText>
      </w:r>
      <w:r>
        <w:rPr>
          <w:rFonts w:ascii="Times New Roman" w:hAnsi="Times New Roman" w:eastAsia="宋体"/>
          <w:highlight w:val="none"/>
        </w:rPr>
        <w:fldChar w:fldCharType="separate"/>
      </w:r>
      <w:r>
        <w:rPr>
          <w:rFonts w:hint="default" w:ascii="Times New Roman" w:hAnsi="Times New Roman" w:eastAsia="宋体" w:cs="宋体"/>
        </w:rPr>
        <w:t xml:space="preserve">3.3 </w:t>
      </w:r>
      <w:r>
        <w:rPr>
          <w:rFonts w:hint="eastAsia"/>
          <w:highlight w:val="none"/>
        </w:rPr>
        <w:t>建设方案与策略</w:t>
      </w:r>
      <w:r>
        <w:tab/>
      </w:r>
      <w:r>
        <w:fldChar w:fldCharType="begin"/>
      </w:r>
      <w:r>
        <w:instrText xml:space="preserve"> PAGEREF _Toc6972 \h </w:instrText>
      </w:r>
      <w:r>
        <w:fldChar w:fldCharType="separate"/>
      </w:r>
      <w:r>
        <w:t>5</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_Toc14844 </w:instrText>
      </w:r>
      <w:r>
        <w:rPr>
          <w:rFonts w:ascii="Times New Roman" w:hAnsi="Times New Roman" w:eastAsia="宋体"/>
          <w:highlight w:val="none"/>
        </w:rPr>
        <w:fldChar w:fldCharType="separate"/>
      </w:r>
      <w:r>
        <w:rPr>
          <w:rFonts w:hint="default" w:ascii="Times New Roman" w:hAnsi="Times New Roman" w:eastAsia="宋体" w:cs="宋体"/>
        </w:rPr>
        <w:t xml:space="preserve">3.4 </w:t>
      </w:r>
      <w:r>
        <w:rPr>
          <w:rFonts w:hint="eastAsia"/>
          <w:highlight w:val="none"/>
        </w:rPr>
        <w:t>项目管理机制</w:t>
      </w:r>
      <w:r>
        <w:tab/>
      </w:r>
      <w:r>
        <w:fldChar w:fldCharType="begin"/>
      </w:r>
      <w:r>
        <w:instrText xml:space="preserve"> PAGEREF _Toc14844 \h </w:instrText>
      </w:r>
      <w:r>
        <w:fldChar w:fldCharType="separate"/>
      </w:r>
      <w:r>
        <w:t>5</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_Toc18895 </w:instrText>
      </w:r>
      <w:r>
        <w:rPr>
          <w:rFonts w:ascii="Times New Roman" w:hAnsi="Times New Roman" w:eastAsia="宋体"/>
          <w:highlight w:val="none"/>
        </w:rPr>
        <w:fldChar w:fldCharType="separate"/>
      </w:r>
      <w:r>
        <w:rPr>
          <w:rFonts w:hint="default"/>
        </w:rPr>
        <w:t xml:space="preserve">3.4.1 </w:t>
      </w:r>
      <w:r>
        <w:rPr>
          <w:rFonts w:hint="eastAsia"/>
          <w:highlight w:val="none"/>
        </w:rPr>
        <w:t>组织机构</w:t>
      </w:r>
      <w:r>
        <w:tab/>
      </w:r>
      <w:r>
        <w:fldChar w:fldCharType="begin"/>
      </w:r>
      <w:r>
        <w:instrText xml:space="preserve"> PAGEREF _Toc18895 \h </w:instrText>
      </w:r>
      <w:r>
        <w:fldChar w:fldCharType="separate"/>
      </w:r>
      <w:r>
        <w:t>5</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_Toc4367 </w:instrText>
      </w:r>
      <w:r>
        <w:rPr>
          <w:rFonts w:ascii="Times New Roman" w:hAnsi="Times New Roman" w:eastAsia="宋体"/>
          <w:highlight w:val="none"/>
        </w:rPr>
        <w:fldChar w:fldCharType="separate"/>
      </w:r>
      <w:r>
        <w:rPr>
          <w:rFonts w:hint="default"/>
        </w:rPr>
        <w:t xml:space="preserve">3.4.2 </w:t>
      </w:r>
      <w:r>
        <w:rPr>
          <w:rFonts w:hint="eastAsia"/>
          <w:highlight w:val="none"/>
        </w:rPr>
        <w:t>组织职责与定位</w:t>
      </w:r>
      <w:r>
        <w:tab/>
      </w:r>
      <w:r>
        <w:fldChar w:fldCharType="begin"/>
      </w:r>
      <w:r>
        <w:instrText xml:space="preserve"> PAGEREF _Toc4367 \h </w:instrText>
      </w:r>
      <w:r>
        <w:fldChar w:fldCharType="separate"/>
      </w:r>
      <w:r>
        <w:t>5</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_Toc26194 </w:instrText>
      </w:r>
      <w:r>
        <w:rPr>
          <w:rFonts w:ascii="Times New Roman" w:hAnsi="Times New Roman" w:eastAsia="宋体"/>
          <w:highlight w:val="none"/>
        </w:rPr>
        <w:fldChar w:fldCharType="separate"/>
      </w:r>
      <w:r>
        <w:rPr>
          <w:rFonts w:hint="default"/>
        </w:rPr>
        <w:t xml:space="preserve">3.4.3 </w:t>
      </w:r>
      <w:r>
        <w:rPr>
          <w:rFonts w:hint="eastAsia"/>
          <w:highlight w:val="none"/>
        </w:rPr>
        <w:t>投标方项目组角色和职责</w:t>
      </w:r>
      <w:r>
        <w:tab/>
      </w:r>
      <w:r>
        <w:fldChar w:fldCharType="begin"/>
      </w:r>
      <w:r>
        <w:instrText xml:space="preserve"> PAGEREF _Toc26194 \h </w:instrText>
      </w:r>
      <w:r>
        <w:fldChar w:fldCharType="separate"/>
      </w:r>
      <w:r>
        <w:t>5</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_Toc30708 </w:instrText>
      </w:r>
      <w:r>
        <w:rPr>
          <w:rFonts w:ascii="Times New Roman" w:hAnsi="Times New Roman" w:eastAsia="宋体"/>
          <w:highlight w:val="none"/>
        </w:rPr>
        <w:fldChar w:fldCharType="separate"/>
      </w:r>
      <w:r>
        <w:rPr>
          <w:rFonts w:hint="default"/>
        </w:rPr>
        <w:t xml:space="preserve">3.4.4 </w:t>
      </w:r>
      <w:r>
        <w:rPr>
          <w:rFonts w:hint="eastAsia"/>
          <w:highlight w:val="none"/>
        </w:rPr>
        <w:t>系统测试方案及质量控制和保证方案</w:t>
      </w:r>
      <w:r>
        <w:tab/>
      </w:r>
      <w:r>
        <w:fldChar w:fldCharType="begin"/>
      </w:r>
      <w:r>
        <w:instrText xml:space="preserve"> PAGEREF _Toc30708 \h </w:instrText>
      </w:r>
      <w:r>
        <w:fldChar w:fldCharType="separate"/>
      </w:r>
      <w:r>
        <w:t>6</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_Toc6013 </w:instrText>
      </w:r>
      <w:r>
        <w:rPr>
          <w:rFonts w:ascii="Times New Roman" w:hAnsi="Times New Roman" w:eastAsia="宋体"/>
          <w:highlight w:val="none"/>
        </w:rPr>
        <w:fldChar w:fldCharType="separate"/>
      </w:r>
      <w:r>
        <w:rPr>
          <w:rFonts w:hint="default"/>
        </w:rPr>
        <w:t xml:space="preserve">3.4.5 </w:t>
      </w:r>
      <w:r>
        <w:rPr>
          <w:rFonts w:hint="eastAsia"/>
          <w:highlight w:val="none"/>
        </w:rPr>
        <w:t>风险管理与控制</w:t>
      </w:r>
      <w:r>
        <w:tab/>
      </w:r>
      <w:r>
        <w:fldChar w:fldCharType="begin"/>
      </w:r>
      <w:r>
        <w:instrText xml:space="preserve"> PAGEREF _Toc6013 \h </w:instrText>
      </w:r>
      <w:r>
        <w:fldChar w:fldCharType="separate"/>
      </w:r>
      <w:r>
        <w:t>6</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_Toc24960 </w:instrText>
      </w:r>
      <w:r>
        <w:rPr>
          <w:rFonts w:ascii="Times New Roman" w:hAnsi="Times New Roman" w:eastAsia="宋体"/>
          <w:highlight w:val="none"/>
        </w:rPr>
        <w:fldChar w:fldCharType="separate"/>
      </w:r>
      <w:r>
        <w:rPr>
          <w:rFonts w:hint="default"/>
        </w:rPr>
        <w:t xml:space="preserve">3.4.6 </w:t>
      </w:r>
      <w:r>
        <w:rPr>
          <w:rFonts w:hint="eastAsia"/>
          <w:highlight w:val="none"/>
        </w:rPr>
        <w:t>施工管理与控制</w:t>
      </w:r>
      <w:r>
        <w:tab/>
      </w:r>
      <w:r>
        <w:fldChar w:fldCharType="begin"/>
      </w:r>
      <w:r>
        <w:instrText xml:space="preserve"> PAGEREF _Toc24960 \h </w:instrText>
      </w:r>
      <w:r>
        <w:fldChar w:fldCharType="separate"/>
      </w:r>
      <w:r>
        <w:t>6</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_Toc22479 </w:instrText>
      </w:r>
      <w:r>
        <w:rPr>
          <w:rFonts w:ascii="Times New Roman" w:hAnsi="Times New Roman" w:eastAsia="宋体"/>
          <w:highlight w:val="none"/>
        </w:rPr>
        <w:fldChar w:fldCharType="separate"/>
      </w:r>
      <w:r>
        <w:rPr>
          <w:rFonts w:hint="default"/>
        </w:rPr>
        <w:t xml:space="preserve">3.4.7 </w:t>
      </w:r>
      <w:r>
        <w:rPr>
          <w:rFonts w:hint="eastAsia"/>
          <w:highlight w:val="none"/>
        </w:rPr>
        <w:t>进度管理与控制</w:t>
      </w:r>
      <w:r>
        <w:tab/>
      </w:r>
      <w:r>
        <w:fldChar w:fldCharType="begin"/>
      </w:r>
      <w:r>
        <w:instrText xml:space="preserve"> PAGEREF _Toc22479 \h </w:instrText>
      </w:r>
      <w:r>
        <w:fldChar w:fldCharType="separate"/>
      </w:r>
      <w:r>
        <w:t>7</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_Toc32545 </w:instrText>
      </w:r>
      <w:r>
        <w:rPr>
          <w:rFonts w:ascii="Times New Roman" w:hAnsi="Times New Roman" w:eastAsia="宋体"/>
          <w:highlight w:val="none"/>
        </w:rPr>
        <w:fldChar w:fldCharType="separate"/>
      </w:r>
      <w:r>
        <w:rPr>
          <w:rFonts w:hint="default"/>
        </w:rPr>
        <w:t xml:space="preserve">3.4.8 </w:t>
      </w:r>
      <w:r>
        <w:rPr>
          <w:rFonts w:hint="eastAsia"/>
          <w:highlight w:val="none"/>
        </w:rPr>
        <w:t>文档管理与控制</w:t>
      </w:r>
      <w:r>
        <w:tab/>
      </w:r>
      <w:r>
        <w:fldChar w:fldCharType="begin"/>
      </w:r>
      <w:r>
        <w:instrText xml:space="preserve"> PAGEREF _Toc32545 \h </w:instrText>
      </w:r>
      <w:r>
        <w:fldChar w:fldCharType="separate"/>
      </w:r>
      <w:r>
        <w:t>7</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_Toc3994 </w:instrText>
      </w:r>
      <w:r>
        <w:rPr>
          <w:rFonts w:ascii="Times New Roman" w:hAnsi="Times New Roman" w:eastAsia="宋体"/>
          <w:highlight w:val="none"/>
        </w:rPr>
        <w:fldChar w:fldCharType="separate"/>
      </w:r>
      <w:r>
        <w:rPr>
          <w:rFonts w:hint="default"/>
        </w:rPr>
        <w:t xml:space="preserve">3.4.9 </w:t>
      </w:r>
      <w:r>
        <w:rPr>
          <w:rFonts w:hint="eastAsia"/>
          <w:highlight w:val="none"/>
        </w:rPr>
        <w:t>变更管理与控制</w:t>
      </w:r>
      <w:r>
        <w:tab/>
      </w:r>
      <w:r>
        <w:fldChar w:fldCharType="begin"/>
      </w:r>
      <w:r>
        <w:instrText xml:space="preserve"> PAGEREF _Toc3994 \h </w:instrText>
      </w:r>
      <w:r>
        <w:fldChar w:fldCharType="separate"/>
      </w:r>
      <w:r>
        <w:t>7</w:t>
      </w:r>
      <w:r>
        <w:fldChar w:fldCharType="end"/>
      </w:r>
      <w:r>
        <w:rPr>
          <w:rFonts w:ascii="Times New Roman" w:hAnsi="Times New Roman" w:eastAsia="宋体"/>
          <w:highlight w:val="none"/>
        </w:rPr>
        <w:fldChar w:fldCharType="end"/>
      </w:r>
    </w:p>
    <w:p>
      <w:pPr>
        <w:pStyle w:val="12"/>
        <w:tabs>
          <w:tab w:val="right" w:leader="dot" w:pos="9072"/>
          <w:tab w:val="clear" w:pos="8296"/>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_Toc31273 </w:instrText>
      </w:r>
      <w:r>
        <w:rPr>
          <w:rFonts w:ascii="Times New Roman" w:hAnsi="Times New Roman" w:eastAsia="宋体"/>
          <w:highlight w:val="none"/>
        </w:rPr>
        <w:fldChar w:fldCharType="separate"/>
      </w:r>
      <w:r>
        <w:rPr>
          <w:rFonts w:hint="eastAsia"/>
        </w:rPr>
        <w:t xml:space="preserve">4. </w:t>
      </w:r>
      <w:r>
        <w:rPr>
          <w:rFonts w:hint="eastAsia"/>
          <w:highlight w:val="none"/>
        </w:rPr>
        <w:t>文档资料要求</w:t>
      </w:r>
      <w:r>
        <w:tab/>
      </w:r>
      <w:r>
        <w:fldChar w:fldCharType="begin"/>
      </w:r>
      <w:r>
        <w:instrText xml:space="preserve"> PAGEREF _Toc31273 \h </w:instrText>
      </w:r>
      <w:r>
        <w:fldChar w:fldCharType="separate"/>
      </w:r>
      <w:r>
        <w:t>8</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_Toc3390 </w:instrText>
      </w:r>
      <w:r>
        <w:rPr>
          <w:rFonts w:ascii="Times New Roman" w:hAnsi="Times New Roman" w:eastAsia="宋体"/>
          <w:highlight w:val="none"/>
        </w:rPr>
        <w:fldChar w:fldCharType="separate"/>
      </w:r>
      <w:r>
        <w:rPr>
          <w:rFonts w:hint="default" w:ascii="Times New Roman" w:hAnsi="Times New Roman" w:eastAsia="宋体" w:cs="宋体"/>
        </w:rPr>
        <w:t xml:space="preserve">4.2 </w:t>
      </w:r>
      <w:r>
        <w:rPr>
          <w:rFonts w:hint="eastAsia"/>
          <w:highlight w:val="none"/>
        </w:rPr>
        <w:t>文档资料的整体要求</w:t>
      </w:r>
      <w:r>
        <w:tab/>
      </w:r>
      <w:r>
        <w:fldChar w:fldCharType="begin"/>
      </w:r>
      <w:r>
        <w:instrText xml:space="preserve"> PAGEREF _Toc3390 \h </w:instrText>
      </w:r>
      <w:r>
        <w:fldChar w:fldCharType="separate"/>
      </w:r>
      <w:r>
        <w:t>8</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_Toc10151 </w:instrText>
      </w:r>
      <w:r>
        <w:rPr>
          <w:rFonts w:ascii="Times New Roman" w:hAnsi="Times New Roman" w:eastAsia="宋体"/>
          <w:highlight w:val="none"/>
        </w:rPr>
        <w:fldChar w:fldCharType="separate"/>
      </w:r>
      <w:r>
        <w:rPr>
          <w:rFonts w:hint="default" w:ascii="Times New Roman" w:hAnsi="Times New Roman" w:eastAsia="宋体" w:cs="宋体"/>
        </w:rPr>
        <w:t xml:space="preserve">4.3 </w:t>
      </w:r>
      <w:r>
        <w:rPr>
          <w:rFonts w:hint="eastAsia"/>
          <w:highlight w:val="none"/>
        </w:rPr>
        <w:t>项目交付物要求</w:t>
      </w:r>
      <w:r>
        <w:tab/>
      </w:r>
      <w:r>
        <w:fldChar w:fldCharType="begin"/>
      </w:r>
      <w:r>
        <w:instrText xml:space="preserve"> PAGEREF _Toc10151 \h </w:instrText>
      </w:r>
      <w:r>
        <w:fldChar w:fldCharType="separate"/>
      </w:r>
      <w:r>
        <w:t>8</w:t>
      </w:r>
      <w:r>
        <w:fldChar w:fldCharType="end"/>
      </w:r>
      <w:r>
        <w:rPr>
          <w:rFonts w:ascii="Times New Roman" w:hAnsi="Times New Roman" w:eastAsia="宋体"/>
          <w:highlight w:val="none"/>
        </w:rPr>
        <w:fldChar w:fldCharType="end"/>
      </w:r>
    </w:p>
    <w:p>
      <w:pPr>
        <w:pStyle w:val="12"/>
        <w:tabs>
          <w:tab w:val="right" w:leader="dot" w:pos="9072"/>
          <w:tab w:val="clear" w:pos="8296"/>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_Toc14752 </w:instrText>
      </w:r>
      <w:r>
        <w:rPr>
          <w:rFonts w:ascii="Times New Roman" w:hAnsi="Times New Roman" w:eastAsia="宋体"/>
          <w:highlight w:val="none"/>
        </w:rPr>
        <w:fldChar w:fldCharType="separate"/>
      </w:r>
      <w:r>
        <w:rPr>
          <w:rFonts w:hint="eastAsia"/>
        </w:rPr>
        <w:t xml:space="preserve">5. </w:t>
      </w:r>
      <w:r>
        <w:rPr>
          <w:rFonts w:hint="eastAsia"/>
          <w:highlight w:val="none"/>
        </w:rPr>
        <w:t>业务需求</w:t>
      </w:r>
      <w:r>
        <w:tab/>
      </w:r>
      <w:r>
        <w:fldChar w:fldCharType="begin"/>
      </w:r>
      <w:r>
        <w:instrText xml:space="preserve"> PAGEREF _Toc14752 \h </w:instrText>
      </w:r>
      <w:r>
        <w:fldChar w:fldCharType="separate"/>
      </w:r>
      <w:r>
        <w:t>9</w:t>
      </w:r>
      <w:r>
        <w:fldChar w:fldCharType="end"/>
      </w:r>
      <w:r>
        <w:rPr>
          <w:rFonts w:ascii="Times New Roman" w:hAnsi="Times New Roman" w:eastAsia="宋体"/>
          <w:highlight w:val="none"/>
        </w:rPr>
        <w:fldChar w:fldCharType="end"/>
      </w:r>
    </w:p>
    <w:p>
      <w:pPr>
        <w:pStyle w:val="12"/>
        <w:tabs>
          <w:tab w:val="right" w:leader="dot" w:pos="9072"/>
          <w:tab w:val="clear" w:pos="8296"/>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_Toc2953 </w:instrText>
      </w:r>
      <w:r>
        <w:rPr>
          <w:rFonts w:ascii="Times New Roman" w:hAnsi="Times New Roman" w:eastAsia="宋体"/>
          <w:highlight w:val="none"/>
        </w:rPr>
        <w:fldChar w:fldCharType="separate"/>
      </w:r>
      <w:r>
        <w:rPr>
          <w:rFonts w:hint="eastAsia"/>
          <w:highlight w:val="none"/>
          <w:lang w:val="en-US"/>
        </w:rPr>
        <w:t>5</w:t>
      </w:r>
      <w:r>
        <w:rPr>
          <w:rFonts w:hint="eastAsia"/>
          <w:highlight w:val="none"/>
        </w:rPr>
        <w:t>业务需求</w:t>
      </w:r>
      <w:r>
        <w:rPr>
          <w:rFonts w:hint="eastAsia"/>
          <w:highlight w:val="none"/>
          <w:lang w:eastAsia="zh-CN"/>
        </w:rPr>
        <w:t>（</w:t>
      </w:r>
      <w:r>
        <w:rPr>
          <w:rFonts w:hint="eastAsia"/>
          <w:highlight w:val="none"/>
          <w:lang w:val="en-US" w:eastAsia="zh-CN"/>
        </w:rPr>
        <w:t>以工程量清单内容为准</w:t>
      </w:r>
      <w:r>
        <w:rPr>
          <w:rFonts w:hint="eastAsia"/>
          <w:highlight w:val="none"/>
          <w:lang w:eastAsia="zh-CN"/>
        </w:rPr>
        <w:t>）</w:t>
      </w:r>
      <w:r>
        <w:tab/>
      </w:r>
      <w:r>
        <w:fldChar w:fldCharType="begin"/>
      </w:r>
      <w:r>
        <w:instrText xml:space="preserve"> PAGEREF _Toc2953 \h </w:instrText>
      </w:r>
      <w:r>
        <w:fldChar w:fldCharType="separate"/>
      </w:r>
      <w:r>
        <w:t>9</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_Toc15361 </w:instrText>
      </w:r>
      <w:r>
        <w:rPr>
          <w:rFonts w:ascii="Times New Roman" w:hAnsi="Times New Roman" w:eastAsia="宋体"/>
          <w:highlight w:val="none"/>
        </w:rPr>
        <w:fldChar w:fldCharType="separate"/>
      </w:r>
      <w:r>
        <w:rPr>
          <w:rFonts w:hint="eastAsia"/>
          <w:highlight w:val="none"/>
          <w:lang w:val="en-US"/>
        </w:rPr>
        <w:t>5.1</w:t>
      </w:r>
      <w:r>
        <w:rPr>
          <w:rFonts w:hint="eastAsia"/>
          <w:highlight w:val="none"/>
        </w:rPr>
        <w:t>总体要求</w:t>
      </w:r>
      <w:r>
        <w:tab/>
      </w:r>
      <w:r>
        <w:fldChar w:fldCharType="begin"/>
      </w:r>
      <w:r>
        <w:instrText xml:space="preserve"> PAGEREF _Toc15361 \h </w:instrText>
      </w:r>
      <w:r>
        <w:fldChar w:fldCharType="separate"/>
      </w:r>
      <w:r>
        <w:t>9</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_Toc16107 </w:instrText>
      </w:r>
      <w:r>
        <w:rPr>
          <w:rFonts w:ascii="Times New Roman" w:hAnsi="Times New Roman" w:eastAsia="宋体"/>
          <w:highlight w:val="none"/>
        </w:rPr>
        <w:fldChar w:fldCharType="separate"/>
      </w:r>
      <w:r>
        <w:rPr>
          <w:rFonts w:hint="eastAsia"/>
          <w:highlight w:val="none"/>
          <w:lang w:val="en-US"/>
        </w:rPr>
        <w:t xml:space="preserve">5.2 </w:t>
      </w:r>
      <w:r>
        <w:rPr>
          <w:rFonts w:hint="eastAsia"/>
          <w:highlight w:val="none"/>
        </w:rPr>
        <w:t>中心控制室</w:t>
      </w:r>
      <w:r>
        <w:tab/>
      </w:r>
      <w:r>
        <w:fldChar w:fldCharType="begin"/>
      </w:r>
      <w:r>
        <w:instrText xml:space="preserve"> PAGEREF _Toc16107 \h </w:instrText>
      </w:r>
      <w:r>
        <w:fldChar w:fldCharType="separate"/>
      </w:r>
      <w:r>
        <w:t>9</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_Toc9324 </w:instrText>
      </w:r>
      <w:r>
        <w:rPr>
          <w:rFonts w:ascii="Times New Roman" w:hAnsi="Times New Roman" w:eastAsia="宋体"/>
          <w:highlight w:val="none"/>
        </w:rPr>
        <w:fldChar w:fldCharType="separate"/>
      </w:r>
      <w:r>
        <w:rPr>
          <w:rFonts w:hint="default"/>
          <w:lang w:val="en-US" w:eastAsia="zh-CN"/>
        </w:rPr>
        <w:t xml:space="preserve">5.2.1 </w:t>
      </w:r>
      <w:r>
        <w:rPr>
          <w:rFonts w:hint="eastAsia"/>
          <w:highlight w:val="none"/>
          <w:lang w:val="en-US" w:eastAsia="zh-CN"/>
        </w:rPr>
        <w:t>概述</w:t>
      </w:r>
      <w:r>
        <w:tab/>
      </w:r>
      <w:r>
        <w:fldChar w:fldCharType="begin"/>
      </w:r>
      <w:r>
        <w:instrText xml:space="preserve"> PAGEREF _Toc9324 \h </w:instrText>
      </w:r>
      <w:r>
        <w:fldChar w:fldCharType="separate"/>
      </w:r>
      <w:r>
        <w:t>9</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_Toc26530 </w:instrText>
      </w:r>
      <w:r>
        <w:rPr>
          <w:rFonts w:ascii="Times New Roman" w:hAnsi="Times New Roman" w:eastAsia="宋体"/>
          <w:highlight w:val="none"/>
        </w:rPr>
        <w:fldChar w:fldCharType="separate"/>
      </w:r>
      <w:r>
        <w:rPr>
          <w:rFonts w:hint="default"/>
        </w:rPr>
        <w:t xml:space="preserve">5.2.2 </w:t>
      </w:r>
      <w:r>
        <w:rPr>
          <w:rFonts w:hint="eastAsia"/>
          <w:highlight w:val="none"/>
        </w:rPr>
        <w:t>设备清单</w:t>
      </w:r>
      <w:r>
        <w:rPr>
          <w:rFonts w:hint="eastAsia"/>
          <w:highlight w:val="none"/>
          <w:lang w:eastAsia="zh-CN"/>
        </w:rPr>
        <w:t>（</w:t>
      </w:r>
      <w:r>
        <w:rPr>
          <w:rFonts w:hint="eastAsia"/>
          <w:highlight w:val="none"/>
          <w:lang w:val="en-US" w:eastAsia="zh-CN"/>
        </w:rPr>
        <w:t>具体数量以工程量清单为准</w:t>
      </w:r>
      <w:r>
        <w:rPr>
          <w:rFonts w:hint="eastAsia"/>
          <w:highlight w:val="none"/>
          <w:lang w:eastAsia="zh-CN"/>
        </w:rPr>
        <w:t>）</w:t>
      </w:r>
      <w:r>
        <w:tab/>
      </w:r>
      <w:r>
        <w:fldChar w:fldCharType="begin"/>
      </w:r>
      <w:r>
        <w:instrText xml:space="preserve"> PAGEREF _Toc26530 \h </w:instrText>
      </w:r>
      <w:r>
        <w:fldChar w:fldCharType="separate"/>
      </w:r>
      <w:r>
        <w:t>10</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_Toc18306 </w:instrText>
      </w:r>
      <w:r>
        <w:rPr>
          <w:rFonts w:ascii="Times New Roman" w:hAnsi="Times New Roman" w:eastAsia="宋体"/>
          <w:highlight w:val="none"/>
        </w:rPr>
        <w:fldChar w:fldCharType="separate"/>
      </w:r>
      <w:r>
        <w:rPr>
          <w:rFonts w:hint="default" w:ascii="Times New Roman" w:hAnsi="Times New Roman" w:eastAsia="宋体" w:cs="宋体"/>
          <w:lang w:val="en-US" w:eastAsia="zh-CN"/>
        </w:rPr>
        <w:t xml:space="preserve">5.3 </w:t>
      </w:r>
      <w:r>
        <w:rPr>
          <w:rFonts w:hint="eastAsia"/>
          <w:lang w:val="en-US" w:eastAsia="zh-CN"/>
        </w:rPr>
        <w:t>并入</w:t>
      </w:r>
      <w:r>
        <w:rPr>
          <w:rFonts w:hint="eastAsia"/>
        </w:rPr>
        <w:t>智能通行系统</w:t>
      </w:r>
      <w:r>
        <w:tab/>
      </w:r>
      <w:r>
        <w:fldChar w:fldCharType="begin"/>
      </w:r>
      <w:r>
        <w:instrText xml:space="preserve"> PAGEREF _Toc18306 \h </w:instrText>
      </w:r>
      <w:r>
        <w:fldChar w:fldCharType="separate"/>
      </w:r>
      <w:r>
        <w:t>10</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_Toc23880 </w:instrText>
      </w:r>
      <w:r>
        <w:rPr>
          <w:rFonts w:ascii="Times New Roman" w:hAnsi="Times New Roman" w:eastAsia="宋体"/>
          <w:highlight w:val="none"/>
        </w:rPr>
        <w:fldChar w:fldCharType="separate"/>
      </w:r>
      <w:r>
        <w:rPr>
          <w:rFonts w:hint="default"/>
          <w:lang w:val="en-US" w:eastAsia="zh-CN"/>
        </w:rPr>
        <w:t xml:space="preserve">5.3.1 </w:t>
      </w:r>
      <w:r>
        <w:rPr>
          <w:rFonts w:hint="eastAsia"/>
          <w:lang w:val="en-US" w:eastAsia="zh-CN"/>
        </w:rPr>
        <w:t>概述</w:t>
      </w:r>
      <w:r>
        <w:tab/>
      </w:r>
      <w:r>
        <w:fldChar w:fldCharType="begin"/>
      </w:r>
      <w:r>
        <w:instrText xml:space="preserve"> PAGEREF _Toc23880 \h </w:instrText>
      </w:r>
      <w:r>
        <w:fldChar w:fldCharType="separate"/>
      </w:r>
      <w:r>
        <w:t>10</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_Toc9720 </w:instrText>
      </w:r>
      <w:r>
        <w:rPr>
          <w:rFonts w:ascii="Times New Roman" w:hAnsi="Times New Roman" w:eastAsia="宋体"/>
          <w:highlight w:val="none"/>
        </w:rPr>
        <w:fldChar w:fldCharType="separate"/>
      </w:r>
      <w:r>
        <w:rPr>
          <w:rFonts w:hint="default"/>
          <w:lang w:val="en-US" w:eastAsia="zh-CN"/>
        </w:rPr>
        <w:t xml:space="preserve">5.3.2 </w:t>
      </w:r>
      <w:r>
        <w:rPr>
          <w:rFonts w:hint="eastAsia"/>
          <w:lang w:val="en-US" w:eastAsia="zh-CN"/>
        </w:rPr>
        <w:t>人行管理</w:t>
      </w:r>
      <w:r>
        <w:tab/>
      </w:r>
      <w:r>
        <w:fldChar w:fldCharType="begin"/>
      </w:r>
      <w:r>
        <w:instrText xml:space="preserve"> PAGEREF _Toc9720 \h </w:instrText>
      </w:r>
      <w:r>
        <w:fldChar w:fldCharType="separate"/>
      </w:r>
      <w:r>
        <w:t>10</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_Toc28500 </w:instrText>
      </w:r>
      <w:r>
        <w:rPr>
          <w:rFonts w:ascii="Times New Roman" w:hAnsi="Times New Roman" w:eastAsia="宋体"/>
          <w:highlight w:val="none"/>
        </w:rPr>
        <w:fldChar w:fldCharType="separate"/>
      </w:r>
      <w:r>
        <w:rPr>
          <w:rFonts w:hint="default" w:ascii="Times New Roman" w:hAnsi="Times New Roman" w:eastAsia="宋体" w:cs="宋体"/>
          <w:lang w:val="en-US" w:eastAsia="zh-CN"/>
        </w:rPr>
        <w:t xml:space="preserve">5.4 </w:t>
      </w:r>
      <w:r>
        <w:rPr>
          <w:rFonts w:hint="eastAsia"/>
          <w:lang w:val="en-US" w:eastAsia="zh-CN"/>
        </w:rPr>
        <w:t>东联码头CSAS车道闸</w:t>
      </w:r>
      <w:r>
        <w:tab/>
      </w:r>
      <w:r>
        <w:fldChar w:fldCharType="begin"/>
      </w:r>
      <w:r>
        <w:instrText xml:space="preserve"> PAGEREF _Toc28500 \h </w:instrText>
      </w:r>
      <w:r>
        <w:fldChar w:fldCharType="separate"/>
      </w:r>
      <w:r>
        <w:t>11</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_Toc9390 </w:instrText>
      </w:r>
      <w:r>
        <w:rPr>
          <w:rFonts w:ascii="Times New Roman" w:hAnsi="Times New Roman" w:eastAsia="宋体"/>
          <w:highlight w:val="none"/>
        </w:rPr>
        <w:fldChar w:fldCharType="separate"/>
      </w:r>
      <w:r>
        <w:rPr>
          <w:rFonts w:hint="default" w:ascii="Times New Roman" w:hAnsi="Times New Roman" w:eastAsia="宋体" w:cs="宋体"/>
        </w:rPr>
        <w:t xml:space="preserve">5.4.1 </w:t>
      </w:r>
      <w:r>
        <w:rPr>
          <w:rFonts w:hint="eastAsia"/>
          <w:lang w:val="en-US" w:eastAsia="zh-CN"/>
        </w:rPr>
        <w:t>设备清单（配合现场实际情况，具体数量以工程量清单为准）</w:t>
      </w:r>
      <w:r>
        <w:tab/>
      </w:r>
      <w:r>
        <w:fldChar w:fldCharType="begin"/>
      </w:r>
      <w:r>
        <w:instrText xml:space="preserve"> PAGEREF _Toc9390 \h </w:instrText>
      </w:r>
      <w:r>
        <w:fldChar w:fldCharType="separate"/>
      </w:r>
      <w:r>
        <w:t>11</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_Toc7492 </w:instrText>
      </w:r>
      <w:r>
        <w:rPr>
          <w:rFonts w:ascii="Times New Roman" w:hAnsi="Times New Roman" w:eastAsia="宋体"/>
          <w:highlight w:val="none"/>
        </w:rPr>
        <w:fldChar w:fldCharType="separate"/>
      </w:r>
      <w:r>
        <w:rPr>
          <w:rFonts w:hint="default" w:ascii="Times New Roman" w:hAnsi="Times New Roman" w:eastAsia="宋体" w:cs="宋体"/>
        </w:rPr>
        <w:t xml:space="preserve">5.5 </w:t>
      </w:r>
      <w:r>
        <w:rPr>
          <w:rFonts w:hint="eastAsia"/>
          <w:lang w:val="en-US"/>
        </w:rPr>
        <w:t>视频</w:t>
      </w:r>
      <w:r>
        <w:rPr>
          <w:rFonts w:hint="eastAsia"/>
        </w:rPr>
        <w:t>监控系统</w:t>
      </w:r>
      <w:r>
        <w:tab/>
      </w:r>
      <w:r>
        <w:fldChar w:fldCharType="begin"/>
      </w:r>
      <w:r>
        <w:instrText xml:space="preserve"> PAGEREF _Toc7492 \h </w:instrText>
      </w:r>
      <w:r>
        <w:fldChar w:fldCharType="separate"/>
      </w:r>
      <w:r>
        <w:t>11</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_Toc17090 </w:instrText>
      </w:r>
      <w:r>
        <w:rPr>
          <w:rFonts w:ascii="Times New Roman" w:hAnsi="Times New Roman" w:eastAsia="宋体"/>
          <w:highlight w:val="none"/>
        </w:rPr>
        <w:fldChar w:fldCharType="separate"/>
      </w:r>
      <w:r>
        <w:rPr>
          <w:rFonts w:hint="default" w:ascii="Times New Roman" w:hAnsi="Times New Roman" w:eastAsia="宋体" w:cs="宋体"/>
          <w:lang w:val="en-US" w:eastAsia="zh-CN"/>
        </w:rPr>
        <w:t xml:space="preserve">5.5.1 </w:t>
      </w:r>
      <w:r>
        <w:rPr>
          <w:rFonts w:hint="eastAsia"/>
          <w:highlight w:val="none"/>
          <w:lang w:val="en-US" w:eastAsia="zh-CN"/>
        </w:rPr>
        <w:t>概述</w:t>
      </w:r>
      <w:r>
        <w:tab/>
      </w:r>
      <w:r>
        <w:fldChar w:fldCharType="begin"/>
      </w:r>
      <w:r>
        <w:instrText xml:space="preserve"> PAGEREF _Toc17090 \h </w:instrText>
      </w:r>
      <w:r>
        <w:fldChar w:fldCharType="separate"/>
      </w:r>
      <w:r>
        <w:t>11</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_Toc22770 </w:instrText>
      </w:r>
      <w:r>
        <w:rPr>
          <w:rFonts w:ascii="Times New Roman" w:hAnsi="Times New Roman" w:eastAsia="宋体"/>
          <w:highlight w:val="none"/>
        </w:rPr>
        <w:fldChar w:fldCharType="separate"/>
      </w:r>
      <w:r>
        <w:rPr>
          <w:rFonts w:hint="default" w:ascii="Times New Roman" w:hAnsi="Times New Roman" w:eastAsia="宋体" w:cs="宋体"/>
          <w:lang w:val="en-US" w:eastAsia="zh-CN"/>
        </w:rPr>
        <w:t xml:space="preserve">5.5.2 </w:t>
      </w:r>
      <w:r>
        <w:rPr>
          <w:rFonts w:hint="eastAsia"/>
          <w:highlight w:val="none"/>
          <w:lang w:val="en-US" w:eastAsia="zh-CN"/>
        </w:rPr>
        <w:t>设备清单</w:t>
      </w:r>
      <w:r>
        <w:rPr>
          <w:rFonts w:hint="eastAsia"/>
          <w:highlight w:val="none"/>
          <w:lang w:eastAsia="zh-CN"/>
        </w:rPr>
        <w:t>（</w:t>
      </w:r>
      <w:r>
        <w:rPr>
          <w:rFonts w:hint="eastAsia"/>
          <w:highlight w:val="none"/>
          <w:lang w:val="en-US" w:eastAsia="zh-CN"/>
        </w:rPr>
        <w:t>具体数量以工程量清单为准</w:t>
      </w:r>
      <w:r>
        <w:rPr>
          <w:rFonts w:hint="eastAsia"/>
          <w:highlight w:val="none"/>
          <w:lang w:eastAsia="zh-CN"/>
        </w:rPr>
        <w:t>）</w:t>
      </w:r>
      <w:r>
        <w:tab/>
      </w:r>
      <w:r>
        <w:fldChar w:fldCharType="begin"/>
      </w:r>
      <w:r>
        <w:instrText xml:space="preserve"> PAGEREF _Toc22770 \h </w:instrText>
      </w:r>
      <w:r>
        <w:fldChar w:fldCharType="separate"/>
      </w:r>
      <w:r>
        <w:t>14</w:t>
      </w:r>
      <w:r>
        <w:fldChar w:fldCharType="end"/>
      </w:r>
      <w:r>
        <w:rPr>
          <w:rFonts w:ascii="Times New Roman" w:hAnsi="Times New Roman" w:eastAsia="宋体"/>
          <w:highlight w:val="none"/>
        </w:rPr>
        <w:fldChar w:fldCharType="end"/>
      </w:r>
    </w:p>
    <w:p>
      <w:pPr>
        <w:pStyle w:val="12"/>
        <w:tabs>
          <w:tab w:val="right" w:leader="dot" w:pos="9072"/>
          <w:tab w:val="clear" w:pos="8296"/>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_Toc9497 </w:instrText>
      </w:r>
      <w:r>
        <w:rPr>
          <w:rFonts w:ascii="Times New Roman" w:hAnsi="Times New Roman" w:eastAsia="宋体"/>
          <w:highlight w:val="none"/>
        </w:rPr>
        <w:fldChar w:fldCharType="separate"/>
      </w:r>
      <w:r>
        <w:rPr>
          <w:rFonts w:hint="eastAsia"/>
          <w:highlight w:val="none"/>
          <w:lang w:val="en-US" w:eastAsia="zh-CN"/>
        </w:rPr>
        <w:t>6、</w:t>
      </w:r>
      <w:r>
        <w:rPr>
          <w:rFonts w:hint="eastAsia"/>
          <w:highlight w:val="none"/>
        </w:rPr>
        <w:t>智慧工地集成性能要求</w:t>
      </w:r>
      <w:r>
        <w:tab/>
      </w:r>
      <w:r>
        <w:fldChar w:fldCharType="begin"/>
      </w:r>
      <w:r>
        <w:instrText xml:space="preserve"> PAGEREF _Toc9497 \h </w:instrText>
      </w:r>
      <w:r>
        <w:fldChar w:fldCharType="separate"/>
      </w:r>
      <w:r>
        <w:t>15</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_Toc27763 </w:instrText>
      </w:r>
      <w:r>
        <w:rPr>
          <w:rFonts w:ascii="Times New Roman" w:hAnsi="Times New Roman" w:eastAsia="宋体"/>
          <w:highlight w:val="none"/>
        </w:rPr>
        <w:fldChar w:fldCharType="separate"/>
      </w:r>
      <w:r>
        <w:rPr>
          <w:rFonts w:hint="eastAsia"/>
          <w:highlight w:val="none"/>
          <w:lang w:val="en-US" w:eastAsia="zh-CN"/>
        </w:rPr>
        <w:t>6.1</w:t>
      </w:r>
      <w:r>
        <w:rPr>
          <w:rFonts w:hint="eastAsia"/>
          <w:highlight w:val="none"/>
        </w:rPr>
        <w:t>智慧工地硬件集成性要求</w:t>
      </w:r>
      <w:r>
        <w:tab/>
      </w:r>
      <w:r>
        <w:fldChar w:fldCharType="begin"/>
      </w:r>
      <w:r>
        <w:instrText xml:space="preserve"> PAGEREF _Toc27763 \h </w:instrText>
      </w:r>
      <w:r>
        <w:fldChar w:fldCharType="separate"/>
      </w:r>
      <w:r>
        <w:t>15</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_Toc19235 </w:instrText>
      </w:r>
      <w:r>
        <w:rPr>
          <w:rFonts w:ascii="Times New Roman" w:hAnsi="Times New Roman" w:eastAsia="宋体"/>
          <w:highlight w:val="none"/>
        </w:rPr>
        <w:fldChar w:fldCharType="separate"/>
      </w:r>
      <w:r>
        <w:rPr>
          <w:rFonts w:hint="eastAsia"/>
          <w:highlight w:val="none"/>
          <w:lang w:val="en-US" w:eastAsia="zh-CN"/>
        </w:rPr>
        <w:t>6.2</w:t>
      </w:r>
      <w:r>
        <w:rPr>
          <w:rFonts w:hint="eastAsia"/>
          <w:highlight w:val="none"/>
        </w:rPr>
        <w:t>智慧工地安全性要求</w:t>
      </w:r>
      <w:r>
        <w:tab/>
      </w:r>
      <w:r>
        <w:fldChar w:fldCharType="begin"/>
      </w:r>
      <w:r>
        <w:instrText xml:space="preserve"> PAGEREF _Toc19235 \h </w:instrText>
      </w:r>
      <w:r>
        <w:fldChar w:fldCharType="separate"/>
      </w:r>
      <w:r>
        <w:t>15</w:t>
      </w:r>
      <w:r>
        <w:fldChar w:fldCharType="end"/>
      </w:r>
      <w:r>
        <w:rPr>
          <w:rFonts w:ascii="Times New Roman" w:hAnsi="Times New Roman" w:eastAsia="宋体"/>
          <w:highlight w:val="none"/>
        </w:rPr>
        <w:fldChar w:fldCharType="end"/>
      </w:r>
    </w:p>
    <w:p>
      <w:pPr>
        <w:pStyle w:val="12"/>
        <w:tabs>
          <w:tab w:val="right" w:leader="dot" w:pos="9072"/>
          <w:tab w:val="clear" w:pos="8296"/>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_Toc10311 </w:instrText>
      </w:r>
      <w:r>
        <w:rPr>
          <w:rFonts w:ascii="Times New Roman" w:hAnsi="Times New Roman" w:eastAsia="宋体"/>
          <w:highlight w:val="none"/>
        </w:rPr>
        <w:fldChar w:fldCharType="separate"/>
      </w:r>
      <w:r>
        <w:rPr>
          <w:rFonts w:hint="eastAsia"/>
          <w:highlight w:val="none"/>
          <w:lang w:val="en-US"/>
        </w:rPr>
        <w:t>7、</w:t>
      </w:r>
      <w:r>
        <w:rPr>
          <w:rFonts w:hint="eastAsia"/>
          <w:highlight w:val="none"/>
        </w:rPr>
        <w:t>硬件要求（</w:t>
      </w:r>
      <w:r>
        <w:rPr>
          <w:rFonts w:hint="eastAsia"/>
          <w:highlight w:val="none"/>
          <w:lang w:val="en-US"/>
        </w:rPr>
        <w:t>以工程量清单内容为准</w:t>
      </w:r>
      <w:r>
        <w:rPr>
          <w:rFonts w:hint="eastAsia"/>
          <w:highlight w:val="none"/>
        </w:rPr>
        <w:t>）</w:t>
      </w:r>
      <w:r>
        <w:tab/>
      </w:r>
      <w:r>
        <w:fldChar w:fldCharType="begin"/>
      </w:r>
      <w:r>
        <w:instrText xml:space="preserve"> PAGEREF _Toc10311 \h </w:instrText>
      </w:r>
      <w:r>
        <w:fldChar w:fldCharType="separate"/>
      </w:r>
      <w:r>
        <w:t>16</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_Toc7922 </w:instrText>
      </w:r>
      <w:r>
        <w:rPr>
          <w:rFonts w:ascii="Times New Roman" w:hAnsi="Times New Roman" w:eastAsia="宋体"/>
          <w:highlight w:val="none"/>
        </w:rPr>
        <w:fldChar w:fldCharType="separate"/>
      </w:r>
      <w:r>
        <w:rPr>
          <w:rFonts w:hint="eastAsia"/>
          <w:highlight w:val="none"/>
          <w:lang w:val="en-US"/>
        </w:rPr>
        <w:t>7.1、中心控制室</w:t>
      </w:r>
      <w:r>
        <w:tab/>
      </w:r>
      <w:r>
        <w:fldChar w:fldCharType="begin"/>
      </w:r>
      <w:r>
        <w:instrText xml:space="preserve"> PAGEREF _Toc7922 \h </w:instrText>
      </w:r>
      <w:r>
        <w:fldChar w:fldCharType="separate"/>
      </w:r>
      <w:r>
        <w:t>16</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_Toc25497 </w:instrText>
      </w:r>
      <w:r>
        <w:rPr>
          <w:rFonts w:ascii="Times New Roman" w:hAnsi="Times New Roman" w:eastAsia="宋体"/>
          <w:highlight w:val="none"/>
        </w:rPr>
        <w:fldChar w:fldCharType="separate"/>
      </w:r>
      <w:r>
        <w:rPr>
          <w:rFonts w:hint="eastAsia"/>
          <w:highlight w:val="none"/>
        </w:rPr>
        <w:t>7.1.1、系统方案概述</w:t>
      </w:r>
      <w:r>
        <w:tab/>
      </w:r>
      <w:r>
        <w:fldChar w:fldCharType="begin"/>
      </w:r>
      <w:r>
        <w:instrText xml:space="preserve"> PAGEREF _Toc25497 \h </w:instrText>
      </w:r>
      <w:r>
        <w:fldChar w:fldCharType="separate"/>
      </w:r>
      <w:r>
        <w:t>16</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_Toc25308 </w:instrText>
      </w:r>
      <w:r>
        <w:rPr>
          <w:rFonts w:ascii="Times New Roman" w:hAnsi="Times New Roman" w:eastAsia="宋体"/>
          <w:highlight w:val="none"/>
        </w:rPr>
        <w:fldChar w:fldCharType="separate"/>
      </w:r>
      <w:r>
        <w:rPr>
          <w:rFonts w:hint="eastAsia"/>
          <w:highlight w:val="none"/>
        </w:rPr>
        <w:t>7.1.2、设备参数：</w:t>
      </w:r>
      <w:r>
        <w:tab/>
      </w:r>
      <w:r>
        <w:fldChar w:fldCharType="begin"/>
      </w:r>
      <w:r>
        <w:instrText xml:space="preserve"> PAGEREF _Toc25308 \h </w:instrText>
      </w:r>
      <w:r>
        <w:fldChar w:fldCharType="separate"/>
      </w:r>
      <w:r>
        <w:t>16</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_Toc26587 </w:instrText>
      </w:r>
      <w:r>
        <w:rPr>
          <w:rFonts w:ascii="Times New Roman" w:hAnsi="Times New Roman" w:eastAsia="宋体"/>
          <w:highlight w:val="none"/>
        </w:rPr>
        <w:fldChar w:fldCharType="separate"/>
      </w:r>
      <w:r>
        <w:rPr>
          <w:rFonts w:hint="eastAsia"/>
          <w:highlight w:val="none"/>
          <w:lang w:val="en-US"/>
        </w:rPr>
        <w:t>7.</w:t>
      </w:r>
      <w:r>
        <w:rPr>
          <w:rFonts w:hint="eastAsia"/>
          <w:highlight w:val="none"/>
          <w:lang w:val="en-US" w:eastAsia="zh-CN"/>
        </w:rPr>
        <w:t>2</w:t>
      </w:r>
      <w:r>
        <w:rPr>
          <w:highlight w:val="none"/>
        </w:rPr>
        <w:t xml:space="preserve"> </w:t>
      </w:r>
      <w:r>
        <w:rPr>
          <w:rFonts w:hint="eastAsia"/>
          <w:highlight w:val="none"/>
          <w:lang w:val="en-US"/>
        </w:rPr>
        <w:t>智能通行系统</w:t>
      </w:r>
      <w:r>
        <w:tab/>
      </w:r>
      <w:r>
        <w:fldChar w:fldCharType="begin"/>
      </w:r>
      <w:r>
        <w:instrText xml:space="preserve"> PAGEREF _Toc26587 \h </w:instrText>
      </w:r>
      <w:r>
        <w:fldChar w:fldCharType="separate"/>
      </w:r>
      <w:r>
        <w:t>21</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_Toc20791 </w:instrText>
      </w:r>
      <w:r>
        <w:rPr>
          <w:rFonts w:ascii="Times New Roman" w:hAnsi="Times New Roman" w:eastAsia="宋体"/>
          <w:highlight w:val="none"/>
        </w:rPr>
        <w:fldChar w:fldCharType="separate"/>
      </w:r>
      <w:r>
        <w:rPr>
          <w:rFonts w:hint="eastAsia"/>
          <w:highlight w:val="none"/>
        </w:rPr>
        <w:t>7.</w:t>
      </w:r>
      <w:r>
        <w:rPr>
          <w:rFonts w:hint="eastAsia"/>
          <w:highlight w:val="none"/>
          <w:lang w:val="en-US" w:eastAsia="zh-CN"/>
        </w:rPr>
        <w:t>2</w:t>
      </w:r>
      <w:r>
        <w:rPr>
          <w:rFonts w:hint="eastAsia"/>
          <w:highlight w:val="none"/>
        </w:rPr>
        <w:t>.1、系统概述</w:t>
      </w:r>
      <w:r>
        <w:tab/>
      </w:r>
      <w:r>
        <w:fldChar w:fldCharType="begin"/>
      </w:r>
      <w:r>
        <w:instrText xml:space="preserve"> PAGEREF _Toc20791 \h </w:instrText>
      </w:r>
      <w:r>
        <w:fldChar w:fldCharType="separate"/>
      </w:r>
      <w:r>
        <w:t>21</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_Toc27151 </w:instrText>
      </w:r>
      <w:r>
        <w:rPr>
          <w:rFonts w:ascii="Times New Roman" w:hAnsi="Times New Roman" w:eastAsia="宋体"/>
          <w:highlight w:val="none"/>
        </w:rPr>
        <w:fldChar w:fldCharType="separate"/>
      </w:r>
      <w:r>
        <w:rPr>
          <w:rFonts w:hint="eastAsia"/>
          <w:highlight w:val="none"/>
          <w:lang w:val="en-US"/>
        </w:rPr>
        <w:t>7.</w:t>
      </w:r>
      <w:r>
        <w:rPr>
          <w:rFonts w:hint="eastAsia"/>
          <w:highlight w:val="none"/>
          <w:lang w:val="en-US" w:eastAsia="zh-CN"/>
        </w:rPr>
        <w:t>3</w:t>
      </w:r>
      <w:r>
        <w:rPr>
          <w:highlight w:val="none"/>
        </w:rPr>
        <w:t xml:space="preserve"> </w:t>
      </w:r>
      <w:r>
        <w:rPr>
          <w:rFonts w:hint="eastAsia"/>
          <w:highlight w:val="none"/>
          <w:lang w:val="en-US"/>
        </w:rPr>
        <w:t>视频监控</w:t>
      </w:r>
      <w:r>
        <w:rPr>
          <w:rFonts w:hint="eastAsia"/>
          <w:highlight w:val="none"/>
        </w:rPr>
        <w:t>系统</w:t>
      </w:r>
      <w:r>
        <w:tab/>
      </w:r>
      <w:r>
        <w:fldChar w:fldCharType="begin"/>
      </w:r>
      <w:r>
        <w:instrText xml:space="preserve"> PAGEREF _Toc27151 \h </w:instrText>
      </w:r>
      <w:r>
        <w:fldChar w:fldCharType="separate"/>
      </w:r>
      <w:r>
        <w:t>26</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_Toc9970 </w:instrText>
      </w:r>
      <w:r>
        <w:rPr>
          <w:rFonts w:ascii="Times New Roman" w:hAnsi="Times New Roman" w:eastAsia="宋体"/>
          <w:highlight w:val="none"/>
        </w:rPr>
        <w:fldChar w:fldCharType="separate"/>
      </w:r>
      <w:r>
        <w:rPr>
          <w:rFonts w:hint="eastAsia"/>
          <w:highlight w:val="none"/>
          <w:lang w:val="en-US"/>
        </w:rPr>
        <w:t>7.</w:t>
      </w:r>
      <w:r>
        <w:rPr>
          <w:rFonts w:hint="eastAsia"/>
          <w:highlight w:val="none"/>
          <w:lang w:val="en-US" w:eastAsia="zh-CN"/>
        </w:rPr>
        <w:t>4</w:t>
      </w:r>
      <w:r>
        <w:rPr>
          <w:highlight w:val="none"/>
        </w:rPr>
        <w:t xml:space="preserve"> </w:t>
      </w:r>
      <w:r>
        <w:rPr>
          <w:rFonts w:hint="eastAsia"/>
          <w:highlight w:val="none"/>
          <w:lang w:val="en-US"/>
        </w:rPr>
        <w:t>主干道测速</w:t>
      </w:r>
      <w:r>
        <w:rPr>
          <w:rFonts w:hint="eastAsia"/>
          <w:highlight w:val="none"/>
        </w:rPr>
        <w:t>系统</w:t>
      </w:r>
      <w:r>
        <w:tab/>
      </w:r>
      <w:r>
        <w:fldChar w:fldCharType="begin"/>
      </w:r>
      <w:r>
        <w:instrText xml:space="preserve"> PAGEREF _Toc9970 \h </w:instrText>
      </w:r>
      <w:r>
        <w:fldChar w:fldCharType="separate"/>
      </w:r>
      <w:r>
        <w:t>36</w:t>
      </w:r>
      <w:r>
        <w:fldChar w:fldCharType="end"/>
      </w:r>
      <w:r>
        <w:rPr>
          <w:rFonts w:ascii="Times New Roman" w:hAnsi="Times New Roman" w:eastAsia="宋体"/>
          <w:highlight w:val="none"/>
        </w:rPr>
        <w:fldChar w:fldCharType="end"/>
      </w:r>
    </w:p>
    <w:p>
      <w:pPr>
        <w:pStyle w:val="12"/>
        <w:tabs>
          <w:tab w:val="right" w:leader="dot" w:pos="9072"/>
          <w:tab w:val="clear" w:pos="8296"/>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_Toc1906 </w:instrText>
      </w:r>
      <w:r>
        <w:rPr>
          <w:rFonts w:ascii="Times New Roman" w:hAnsi="Times New Roman" w:eastAsia="宋体"/>
          <w:highlight w:val="none"/>
        </w:rPr>
        <w:fldChar w:fldCharType="separate"/>
      </w:r>
      <w:r>
        <w:rPr>
          <w:rFonts w:hint="eastAsia"/>
          <w:highlight w:val="none"/>
          <w:lang w:val="en-US" w:eastAsia="zh-CN"/>
        </w:rPr>
        <w:t>8.实施要求</w:t>
      </w:r>
      <w:r>
        <w:tab/>
      </w:r>
      <w:r>
        <w:fldChar w:fldCharType="begin"/>
      </w:r>
      <w:r>
        <w:instrText xml:space="preserve"> PAGEREF _Toc1906 \h </w:instrText>
      </w:r>
      <w:r>
        <w:fldChar w:fldCharType="separate"/>
      </w:r>
      <w:r>
        <w:t>39</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_Toc22565 </w:instrText>
      </w:r>
      <w:r>
        <w:rPr>
          <w:rFonts w:ascii="Times New Roman" w:hAnsi="Times New Roman" w:eastAsia="宋体"/>
          <w:highlight w:val="none"/>
        </w:rPr>
        <w:fldChar w:fldCharType="separate"/>
      </w:r>
      <w:r>
        <w:rPr>
          <w:rFonts w:hint="eastAsia"/>
          <w:highlight w:val="none"/>
          <w:lang w:val="en-US" w:eastAsia="zh-CN"/>
        </w:rPr>
        <w:t>8.1</w:t>
      </w:r>
      <w:r>
        <w:rPr>
          <w:rFonts w:hint="eastAsia"/>
          <w:highlight w:val="none"/>
          <w:lang w:val="en-US"/>
        </w:rPr>
        <w:t>进度</w:t>
      </w:r>
      <w:r>
        <w:rPr>
          <w:rFonts w:hint="eastAsia"/>
          <w:highlight w:val="none"/>
          <w:lang w:val="en-US" w:eastAsia="zh-CN"/>
        </w:rPr>
        <w:t>要求</w:t>
      </w:r>
      <w:r>
        <w:tab/>
      </w:r>
      <w:r>
        <w:fldChar w:fldCharType="begin"/>
      </w:r>
      <w:r>
        <w:instrText xml:space="preserve"> PAGEREF _Toc22565 \h </w:instrText>
      </w:r>
      <w:r>
        <w:fldChar w:fldCharType="separate"/>
      </w:r>
      <w:r>
        <w:t>39</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_Toc10344 </w:instrText>
      </w:r>
      <w:r>
        <w:rPr>
          <w:rFonts w:ascii="Times New Roman" w:hAnsi="Times New Roman" w:eastAsia="宋体"/>
          <w:highlight w:val="none"/>
        </w:rPr>
        <w:fldChar w:fldCharType="separate"/>
      </w:r>
      <w:r>
        <w:rPr>
          <w:rFonts w:hint="eastAsia"/>
          <w:highlight w:val="none"/>
          <w:lang w:val="en-US" w:eastAsia="zh-CN"/>
        </w:rPr>
        <w:t>8.1.1一般要求</w:t>
      </w:r>
      <w:r>
        <w:tab/>
      </w:r>
      <w:r>
        <w:fldChar w:fldCharType="begin"/>
      </w:r>
      <w:r>
        <w:instrText xml:space="preserve"> PAGEREF _Toc10344 \h </w:instrText>
      </w:r>
      <w:r>
        <w:fldChar w:fldCharType="separate"/>
      </w:r>
      <w:r>
        <w:t>39</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_Toc26045 </w:instrText>
      </w:r>
      <w:r>
        <w:rPr>
          <w:rFonts w:ascii="Times New Roman" w:hAnsi="Times New Roman" w:eastAsia="宋体"/>
          <w:highlight w:val="none"/>
        </w:rPr>
        <w:fldChar w:fldCharType="separate"/>
      </w:r>
      <w:r>
        <w:rPr>
          <w:rFonts w:hint="eastAsia"/>
          <w:highlight w:val="none"/>
          <w:lang w:val="en-US" w:eastAsia="zh-CN"/>
        </w:rPr>
        <w:t>8.1.2进度计划</w:t>
      </w:r>
      <w:r>
        <w:tab/>
      </w:r>
      <w:r>
        <w:fldChar w:fldCharType="begin"/>
      </w:r>
      <w:r>
        <w:instrText xml:space="preserve"> PAGEREF _Toc26045 \h </w:instrText>
      </w:r>
      <w:r>
        <w:fldChar w:fldCharType="separate"/>
      </w:r>
      <w:r>
        <w:t>39</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_Toc982 </w:instrText>
      </w:r>
      <w:r>
        <w:rPr>
          <w:rFonts w:ascii="Times New Roman" w:hAnsi="Times New Roman" w:eastAsia="宋体"/>
          <w:highlight w:val="none"/>
        </w:rPr>
        <w:fldChar w:fldCharType="separate"/>
      </w:r>
      <w:r>
        <w:rPr>
          <w:rFonts w:hint="eastAsia"/>
          <w:highlight w:val="none"/>
          <w:lang w:val="en-US" w:eastAsia="zh-CN"/>
        </w:rPr>
        <w:t>8.2</w:t>
      </w:r>
      <w:r>
        <w:rPr>
          <w:rFonts w:hint="eastAsia"/>
          <w:highlight w:val="none"/>
          <w:lang w:val="en-US"/>
        </w:rPr>
        <w:t>HSE管理要求</w:t>
      </w:r>
      <w:r>
        <w:tab/>
      </w:r>
      <w:r>
        <w:fldChar w:fldCharType="begin"/>
      </w:r>
      <w:r>
        <w:instrText xml:space="preserve"> PAGEREF _Toc982 \h </w:instrText>
      </w:r>
      <w:r>
        <w:fldChar w:fldCharType="separate"/>
      </w:r>
      <w:r>
        <w:t>40</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_Toc17907 </w:instrText>
      </w:r>
      <w:r>
        <w:rPr>
          <w:rFonts w:ascii="Times New Roman" w:hAnsi="Times New Roman" w:eastAsia="宋体"/>
          <w:highlight w:val="none"/>
        </w:rPr>
        <w:fldChar w:fldCharType="separate"/>
      </w:r>
      <w:r>
        <w:rPr>
          <w:rFonts w:hint="eastAsia"/>
          <w:highlight w:val="none"/>
          <w:lang w:val="en-US" w:eastAsia="zh-CN"/>
        </w:rPr>
        <w:t>8.2.1</w:t>
      </w:r>
      <w:r>
        <w:rPr>
          <w:highlight w:val="none"/>
          <w:lang w:val="en-US"/>
        </w:rPr>
        <w:t>HSE理念与方针</w:t>
      </w:r>
      <w:r>
        <w:tab/>
      </w:r>
      <w:r>
        <w:fldChar w:fldCharType="begin"/>
      </w:r>
      <w:r>
        <w:instrText xml:space="preserve"> PAGEREF _Toc17907 \h </w:instrText>
      </w:r>
      <w:r>
        <w:fldChar w:fldCharType="separate"/>
      </w:r>
      <w:r>
        <w:t>40</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_Toc3667 </w:instrText>
      </w:r>
      <w:r>
        <w:rPr>
          <w:rFonts w:ascii="Times New Roman" w:hAnsi="Times New Roman" w:eastAsia="宋体"/>
          <w:highlight w:val="none"/>
        </w:rPr>
        <w:fldChar w:fldCharType="separate"/>
      </w:r>
      <w:r>
        <w:rPr>
          <w:rFonts w:hint="eastAsia"/>
          <w:highlight w:val="none"/>
          <w:lang w:val="en-US" w:eastAsia="zh-CN"/>
        </w:rPr>
        <w:t>8.2.2、</w:t>
      </w:r>
      <w:r>
        <w:rPr>
          <w:highlight w:val="none"/>
          <w:lang w:val="en-US"/>
        </w:rPr>
        <w:t>HSE管理责任</w:t>
      </w:r>
      <w:r>
        <w:tab/>
      </w:r>
      <w:r>
        <w:fldChar w:fldCharType="begin"/>
      </w:r>
      <w:r>
        <w:instrText xml:space="preserve"> PAGEREF _Toc3667 \h </w:instrText>
      </w:r>
      <w:r>
        <w:fldChar w:fldCharType="separate"/>
      </w:r>
      <w:r>
        <w:t>42</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_Toc7483 </w:instrText>
      </w:r>
      <w:r>
        <w:rPr>
          <w:rFonts w:ascii="Times New Roman" w:hAnsi="Times New Roman" w:eastAsia="宋体"/>
          <w:highlight w:val="none"/>
        </w:rPr>
        <w:fldChar w:fldCharType="separate"/>
      </w:r>
      <w:r>
        <w:rPr>
          <w:rFonts w:hint="eastAsia"/>
          <w:highlight w:val="none"/>
          <w:lang w:val="en-US" w:eastAsia="zh-CN"/>
        </w:rPr>
        <w:t>8.3、质量要求</w:t>
      </w:r>
      <w:r>
        <w:tab/>
      </w:r>
      <w:r>
        <w:fldChar w:fldCharType="begin"/>
      </w:r>
      <w:r>
        <w:instrText xml:space="preserve"> PAGEREF _Toc7483 \h </w:instrText>
      </w:r>
      <w:r>
        <w:fldChar w:fldCharType="separate"/>
      </w:r>
      <w:r>
        <w:t>45</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_Toc15318 </w:instrText>
      </w:r>
      <w:r>
        <w:rPr>
          <w:rFonts w:ascii="Times New Roman" w:hAnsi="Times New Roman" w:eastAsia="宋体"/>
          <w:highlight w:val="none"/>
        </w:rPr>
        <w:fldChar w:fldCharType="separate"/>
      </w:r>
      <w:r>
        <w:rPr>
          <w:rFonts w:hint="eastAsia"/>
          <w:highlight w:val="none"/>
          <w:lang w:val="en-US" w:eastAsia="zh-CN"/>
        </w:rPr>
        <w:t>8.3.1</w:t>
      </w:r>
      <w:r>
        <w:rPr>
          <w:rFonts w:hint="eastAsia"/>
          <w:highlight w:val="none"/>
        </w:rPr>
        <w:t>质量服务要求</w:t>
      </w:r>
      <w:r>
        <w:tab/>
      </w:r>
      <w:r>
        <w:fldChar w:fldCharType="begin"/>
      </w:r>
      <w:r>
        <w:instrText xml:space="preserve"> PAGEREF _Toc15318 \h </w:instrText>
      </w:r>
      <w:r>
        <w:fldChar w:fldCharType="separate"/>
      </w:r>
      <w:r>
        <w:t>45</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_Toc13247 </w:instrText>
      </w:r>
      <w:r>
        <w:rPr>
          <w:rFonts w:ascii="Times New Roman" w:hAnsi="Times New Roman" w:eastAsia="宋体"/>
          <w:highlight w:val="none"/>
        </w:rPr>
        <w:fldChar w:fldCharType="separate"/>
      </w:r>
      <w:r>
        <w:rPr>
          <w:rFonts w:hint="eastAsia"/>
          <w:highlight w:val="none"/>
          <w:lang w:val="en-US" w:eastAsia="zh-CN"/>
        </w:rPr>
        <w:t>8.3.2</w:t>
      </w:r>
      <w:r>
        <w:rPr>
          <w:rFonts w:hint="eastAsia"/>
          <w:highlight w:val="none"/>
        </w:rPr>
        <w:t>质量控制</w:t>
      </w:r>
      <w:r>
        <w:rPr>
          <w:rFonts w:hint="eastAsia"/>
          <w:highlight w:val="none"/>
          <w:lang w:val="en-US" w:eastAsia="zh-CN"/>
        </w:rPr>
        <w:t>要求</w:t>
      </w:r>
      <w:r>
        <w:tab/>
      </w:r>
      <w:r>
        <w:fldChar w:fldCharType="begin"/>
      </w:r>
      <w:r>
        <w:instrText xml:space="preserve"> PAGEREF _Toc13247 \h </w:instrText>
      </w:r>
      <w:r>
        <w:fldChar w:fldCharType="separate"/>
      </w:r>
      <w:r>
        <w:t>45</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_Toc28611 </w:instrText>
      </w:r>
      <w:r>
        <w:rPr>
          <w:rFonts w:ascii="Times New Roman" w:hAnsi="Times New Roman" w:eastAsia="宋体"/>
          <w:highlight w:val="none"/>
        </w:rPr>
        <w:fldChar w:fldCharType="separate"/>
      </w:r>
      <w:r>
        <w:rPr>
          <w:rFonts w:hint="eastAsia"/>
          <w:highlight w:val="none"/>
          <w:lang w:val="en-US" w:eastAsia="zh-CN"/>
        </w:rPr>
        <w:t>8.3.3</w:t>
      </w:r>
      <w:r>
        <w:rPr>
          <w:rFonts w:hint="eastAsia"/>
          <w:highlight w:val="none"/>
        </w:rPr>
        <w:t>风险管理</w:t>
      </w:r>
      <w:r>
        <w:rPr>
          <w:rFonts w:hint="eastAsia"/>
          <w:highlight w:val="none"/>
          <w:lang w:val="en-US" w:eastAsia="zh-CN"/>
        </w:rPr>
        <w:t>要求</w:t>
      </w:r>
      <w:r>
        <w:tab/>
      </w:r>
      <w:r>
        <w:fldChar w:fldCharType="begin"/>
      </w:r>
      <w:r>
        <w:instrText xml:space="preserve"> PAGEREF _Toc28611 \h </w:instrText>
      </w:r>
      <w:r>
        <w:fldChar w:fldCharType="separate"/>
      </w:r>
      <w:r>
        <w:t>45</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_Toc13226 </w:instrText>
      </w:r>
      <w:r>
        <w:rPr>
          <w:rFonts w:ascii="Times New Roman" w:hAnsi="Times New Roman" w:eastAsia="宋体"/>
          <w:highlight w:val="none"/>
        </w:rPr>
        <w:fldChar w:fldCharType="separate"/>
      </w:r>
      <w:r>
        <w:rPr>
          <w:rFonts w:hint="eastAsia"/>
          <w:highlight w:val="none"/>
          <w:lang w:val="en-US" w:eastAsia="zh-CN"/>
        </w:rPr>
        <w:t>8.4.</w:t>
      </w:r>
      <w:r>
        <w:rPr>
          <w:rFonts w:hint="eastAsia"/>
          <w:highlight w:val="none"/>
        </w:rPr>
        <w:t>保密要求</w:t>
      </w:r>
      <w:r>
        <w:tab/>
      </w:r>
      <w:r>
        <w:fldChar w:fldCharType="begin"/>
      </w:r>
      <w:r>
        <w:instrText xml:space="preserve"> PAGEREF _Toc13226 \h </w:instrText>
      </w:r>
      <w:r>
        <w:fldChar w:fldCharType="separate"/>
      </w:r>
      <w:r>
        <w:t>46</w:t>
      </w:r>
      <w:r>
        <w:fldChar w:fldCharType="end"/>
      </w:r>
      <w:r>
        <w:rPr>
          <w:rFonts w:ascii="Times New Roman" w:hAnsi="Times New Roman" w:eastAsia="宋体"/>
          <w:highlight w:val="none"/>
        </w:rPr>
        <w:fldChar w:fldCharType="end"/>
      </w:r>
    </w:p>
    <w:p>
      <w:pPr>
        <w:pStyle w:val="9"/>
        <w:tabs>
          <w:tab w:val="right" w:leader="dot" w:pos="9072"/>
        </w:tabs>
        <w:rPr>
          <w:rFonts w:ascii="Times New Roman" w:hAnsi="Times New Roman" w:eastAsia="宋体"/>
          <w:highlight w:val="none"/>
        </w:rPr>
        <w:sectPr>
          <w:footerReference r:id="rId9" w:type="default"/>
          <w:pgSz w:w="11906" w:h="16838"/>
          <w:pgMar w:top="1587" w:right="1417" w:bottom="1020" w:left="1417" w:header="851" w:footer="992" w:gutter="0"/>
          <w:pgNumType w:start="1"/>
          <w:cols w:space="425" w:num="1"/>
          <w:docGrid w:type="lines" w:linePitch="312" w:charSpace="0"/>
        </w:sectPr>
      </w:pP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_Toc5775 </w:instrText>
      </w:r>
      <w:r>
        <w:rPr>
          <w:rFonts w:ascii="Times New Roman" w:hAnsi="Times New Roman" w:eastAsia="宋体"/>
          <w:highlight w:val="none"/>
        </w:rPr>
        <w:fldChar w:fldCharType="separate"/>
      </w:r>
      <w:r>
        <w:rPr>
          <w:rFonts w:hint="eastAsia"/>
          <w:highlight w:val="none"/>
          <w:lang w:val="en-US" w:eastAsia="zh-CN"/>
        </w:rPr>
        <w:t>8.4.1</w:t>
      </w:r>
      <w:r>
        <w:rPr>
          <w:rFonts w:hint="eastAsia"/>
          <w:highlight w:val="none"/>
        </w:rPr>
        <w:t>系统安全保密要求</w:t>
      </w:r>
      <w:r>
        <w:tab/>
      </w:r>
      <w:r>
        <w:fldChar w:fldCharType="begin"/>
      </w:r>
      <w:r>
        <w:instrText xml:space="preserve"> PAGEREF _Toc5775 \h </w:instrText>
      </w:r>
      <w:r>
        <w:fldChar w:fldCharType="separate"/>
      </w:r>
      <w:r>
        <w:t>46</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_Toc24265 </w:instrText>
      </w:r>
      <w:r>
        <w:rPr>
          <w:rFonts w:ascii="Times New Roman" w:hAnsi="Times New Roman" w:eastAsia="宋体"/>
          <w:highlight w:val="none"/>
        </w:rPr>
        <w:fldChar w:fldCharType="separate"/>
      </w:r>
      <w:r>
        <w:rPr>
          <w:rFonts w:hint="eastAsia"/>
          <w:highlight w:val="none"/>
          <w:lang w:val="en-US" w:eastAsia="zh-CN"/>
        </w:rPr>
        <w:t>8.4.2</w:t>
      </w:r>
      <w:r>
        <w:rPr>
          <w:rFonts w:hint="eastAsia"/>
          <w:highlight w:val="none"/>
        </w:rPr>
        <w:t>电子资料保密要求</w:t>
      </w:r>
      <w:r>
        <w:tab/>
      </w:r>
      <w:r>
        <w:fldChar w:fldCharType="begin"/>
      </w:r>
      <w:r>
        <w:instrText xml:space="preserve"> PAGEREF _Toc24265 \h </w:instrText>
      </w:r>
      <w:r>
        <w:fldChar w:fldCharType="separate"/>
      </w:r>
      <w:r>
        <w:t>46</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_Toc32078 </w:instrText>
      </w:r>
      <w:r>
        <w:rPr>
          <w:rFonts w:ascii="Times New Roman" w:hAnsi="Times New Roman" w:eastAsia="宋体"/>
          <w:highlight w:val="none"/>
        </w:rPr>
        <w:fldChar w:fldCharType="separate"/>
      </w:r>
      <w:r>
        <w:rPr>
          <w:rFonts w:hint="eastAsia"/>
          <w:highlight w:val="none"/>
          <w:lang w:val="en-US" w:eastAsia="zh-CN"/>
        </w:rPr>
        <w:t>8.5.培训要求</w:t>
      </w:r>
      <w:r>
        <w:tab/>
      </w:r>
      <w:r>
        <w:fldChar w:fldCharType="begin"/>
      </w:r>
      <w:r>
        <w:instrText xml:space="preserve"> PAGEREF _Toc32078 \h </w:instrText>
      </w:r>
      <w:r>
        <w:fldChar w:fldCharType="separate"/>
      </w:r>
      <w:r>
        <w:t>46</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_Toc7765 </w:instrText>
      </w:r>
      <w:r>
        <w:rPr>
          <w:rFonts w:ascii="Times New Roman" w:hAnsi="Times New Roman" w:eastAsia="宋体"/>
          <w:highlight w:val="none"/>
        </w:rPr>
        <w:fldChar w:fldCharType="separate"/>
      </w:r>
      <w:r>
        <w:rPr>
          <w:rFonts w:hint="eastAsia"/>
          <w:highlight w:val="none"/>
          <w:lang w:val="en-US" w:eastAsia="zh-CN"/>
        </w:rPr>
        <w:t>8.6.</w:t>
      </w:r>
      <w:r>
        <w:rPr>
          <w:rFonts w:hint="eastAsia"/>
          <w:highlight w:val="none"/>
        </w:rPr>
        <w:t>验收</w:t>
      </w:r>
      <w:r>
        <w:rPr>
          <w:rFonts w:hint="eastAsia"/>
          <w:highlight w:val="none"/>
          <w:lang w:val="en-US" w:eastAsia="zh-CN"/>
        </w:rPr>
        <w:t>要求</w:t>
      </w:r>
      <w:r>
        <w:tab/>
      </w:r>
      <w:r>
        <w:fldChar w:fldCharType="begin"/>
      </w:r>
      <w:r>
        <w:instrText xml:space="preserve"> PAGEREF _Toc7765 \h </w:instrText>
      </w:r>
      <w:r>
        <w:fldChar w:fldCharType="separate"/>
      </w:r>
      <w:r>
        <w:t>47</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_Toc24298 </w:instrText>
      </w:r>
      <w:r>
        <w:rPr>
          <w:rFonts w:ascii="Times New Roman" w:hAnsi="Times New Roman" w:eastAsia="宋体"/>
          <w:highlight w:val="none"/>
        </w:rPr>
        <w:fldChar w:fldCharType="separate"/>
      </w:r>
      <w:r>
        <w:rPr>
          <w:rFonts w:hint="eastAsia"/>
          <w:highlight w:val="none"/>
          <w:lang w:val="en-US" w:eastAsia="zh-CN"/>
        </w:rPr>
        <w:t>8.6.1硬件设备入场验收</w:t>
      </w:r>
      <w:r>
        <w:tab/>
      </w:r>
      <w:r>
        <w:fldChar w:fldCharType="begin"/>
      </w:r>
      <w:r>
        <w:instrText xml:space="preserve"> PAGEREF _Toc24298 \h </w:instrText>
      </w:r>
      <w:r>
        <w:fldChar w:fldCharType="separate"/>
      </w:r>
      <w:r>
        <w:t>47</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_Toc9695 </w:instrText>
      </w:r>
      <w:r>
        <w:rPr>
          <w:rFonts w:ascii="Times New Roman" w:hAnsi="Times New Roman" w:eastAsia="宋体"/>
          <w:highlight w:val="none"/>
        </w:rPr>
        <w:fldChar w:fldCharType="separate"/>
      </w:r>
      <w:r>
        <w:rPr>
          <w:rFonts w:hint="eastAsia"/>
          <w:highlight w:val="none"/>
          <w:lang w:val="en-US" w:eastAsia="zh-CN"/>
        </w:rPr>
        <w:t>8.6.2竣工文件验收</w:t>
      </w:r>
      <w:r>
        <w:tab/>
      </w:r>
      <w:r>
        <w:fldChar w:fldCharType="begin"/>
      </w:r>
      <w:r>
        <w:instrText xml:space="preserve"> PAGEREF _Toc9695 \h </w:instrText>
      </w:r>
      <w:r>
        <w:fldChar w:fldCharType="separate"/>
      </w:r>
      <w:r>
        <w:t>48</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_Toc7123 </w:instrText>
      </w:r>
      <w:r>
        <w:rPr>
          <w:rFonts w:ascii="Times New Roman" w:hAnsi="Times New Roman" w:eastAsia="宋体"/>
          <w:highlight w:val="none"/>
        </w:rPr>
        <w:fldChar w:fldCharType="separate"/>
      </w:r>
      <w:r>
        <w:rPr>
          <w:rFonts w:hint="eastAsia"/>
          <w:highlight w:val="none"/>
          <w:lang w:val="en-US" w:eastAsia="zh-CN"/>
        </w:rPr>
        <w:t>8.6.3最终验收</w:t>
      </w:r>
      <w:r>
        <w:tab/>
      </w:r>
      <w:r>
        <w:fldChar w:fldCharType="begin"/>
      </w:r>
      <w:r>
        <w:instrText xml:space="preserve"> PAGEREF _Toc7123 \h </w:instrText>
      </w:r>
      <w:r>
        <w:fldChar w:fldCharType="separate"/>
      </w:r>
      <w:r>
        <w:t>48</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_Toc27310 </w:instrText>
      </w:r>
      <w:r>
        <w:rPr>
          <w:rFonts w:ascii="Times New Roman" w:hAnsi="Times New Roman" w:eastAsia="宋体"/>
          <w:highlight w:val="none"/>
        </w:rPr>
        <w:fldChar w:fldCharType="separate"/>
      </w:r>
      <w:r>
        <w:rPr>
          <w:rFonts w:hint="eastAsia"/>
          <w:highlight w:val="none"/>
          <w:lang w:val="en-US" w:eastAsia="zh-CN"/>
        </w:rPr>
        <w:t>8.7运维要求</w:t>
      </w:r>
      <w:r>
        <w:tab/>
      </w:r>
      <w:r>
        <w:fldChar w:fldCharType="begin"/>
      </w:r>
      <w:r>
        <w:instrText xml:space="preserve"> PAGEREF _Toc27310 \h </w:instrText>
      </w:r>
      <w:r>
        <w:fldChar w:fldCharType="separate"/>
      </w:r>
      <w:r>
        <w:t>48</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_Toc30822 </w:instrText>
      </w:r>
      <w:r>
        <w:rPr>
          <w:rFonts w:ascii="Times New Roman" w:hAnsi="Times New Roman" w:eastAsia="宋体"/>
          <w:highlight w:val="none"/>
        </w:rPr>
        <w:fldChar w:fldCharType="separate"/>
      </w:r>
      <w:r>
        <w:rPr>
          <w:rFonts w:hint="eastAsia"/>
          <w:highlight w:val="none"/>
          <w:lang w:val="en-US" w:eastAsia="zh-CN"/>
        </w:rPr>
        <w:t>8.7.1</w:t>
      </w:r>
      <w:r>
        <w:rPr>
          <w:rFonts w:hint="eastAsia"/>
          <w:highlight w:val="none"/>
        </w:rPr>
        <w:t>运维服务要求</w:t>
      </w:r>
      <w:r>
        <w:tab/>
      </w:r>
      <w:r>
        <w:fldChar w:fldCharType="begin"/>
      </w:r>
      <w:r>
        <w:instrText xml:space="preserve"> PAGEREF _Toc30822 \h </w:instrText>
      </w:r>
      <w:r>
        <w:fldChar w:fldCharType="separate"/>
      </w:r>
      <w:r>
        <w:t>48</w:t>
      </w:r>
      <w:r>
        <w:fldChar w:fldCharType="end"/>
      </w:r>
      <w:r>
        <w:rPr>
          <w:rFonts w:ascii="Times New Roman" w:hAnsi="Times New Roman" w:eastAsia="宋体"/>
          <w:highlight w:val="none"/>
        </w:rPr>
        <w:fldChar w:fldCharType="end"/>
      </w:r>
    </w:p>
    <w:p>
      <w:pPr>
        <w:pStyle w:val="9"/>
        <w:tabs>
          <w:tab w:val="right" w:leader="dot" w:pos="9072"/>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_Toc31512 </w:instrText>
      </w:r>
      <w:r>
        <w:rPr>
          <w:rFonts w:ascii="Times New Roman" w:hAnsi="Times New Roman" w:eastAsia="宋体"/>
          <w:highlight w:val="none"/>
        </w:rPr>
        <w:fldChar w:fldCharType="separate"/>
      </w:r>
      <w:r>
        <w:rPr>
          <w:rFonts w:hint="eastAsia"/>
          <w:highlight w:val="none"/>
          <w:lang w:val="en-US" w:eastAsia="zh-CN"/>
        </w:rPr>
        <w:t>8.7.2工作纪律要求</w:t>
      </w:r>
      <w:r>
        <w:tab/>
      </w:r>
      <w:r>
        <w:fldChar w:fldCharType="begin"/>
      </w:r>
      <w:r>
        <w:instrText xml:space="preserve"> PAGEREF _Toc31512 \h </w:instrText>
      </w:r>
      <w:r>
        <w:fldChar w:fldCharType="separate"/>
      </w:r>
      <w:r>
        <w:t>50</w:t>
      </w:r>
      <w:r>
        <w:fldChar w:fldCharType="end"/>
      </w:r>
      <w:r>
        <w:rPr>
          <w:rFonts w:ascii="Times New Roman" w:hAnsi="Times New Roman" w:eastAsia="宋体"/>
          <w:highlight w:val="none"/>
        </w:rPr>
        <w:fldChar w:fldCharType="end"/>
      </w:r>
    </w:p>
    <w:p>
      <w:pPr>
        <w:pStyle w:val="13"/>
        <w:tabs>
          <w:tab w:val="right" w:leader="dot" w:pos="9072"/>
          <w:tab w:val="clear" w:pos="845"/>
          <w:tab w:val="clear" w:pos="8080"/>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_Toc24416 </w:instrText>
      </w:r>
      <w:r>
        <w:rPr>
          <w:rFonts w:ascii="Times New Roman" w:hAnsi="Times New Roman" w:eastAsia="宋体"/>
          <w:highlight w:val="none"/>
        </w:rPr>
        <w:fldChar w:fldCharType="separate"/>
      </w:r>
      <w:r>
        <w:rPr>
          <w:rFonts w:hint="eastAsia"/>
          <w:highlight w:val="none"/>
          <w:lang w:val="en-US" w:eastAsia="zh-CN"/>
        </w:rPr>
        <w:t>8.8</w:t>
      </w:r>
      <w:r>
        <w:rPr>
          <w:rFonts w:hint="eastAsia"/>
          <w:highlight w:val="none"/>
        </w:rPr>
        <w:t>其他要求</w:t>
      </w:r>
      <w:r>
        <w:tab/>
      </w:r>
      <w:r>
        <w:fldChar w:fldCharType="begin"/>
      </w:r>
      <w:r>
        <w:instrText xml:space="preserve"> PAGEREF _Toc24416 \h </w:instrText>
      </w:r>
      <w:r>
        <w:fldChar w:fldCharType="separate"/>
      </w:r>
      <w:r>
        <w:t>51</w:t>
      </w:r>
      <w:r>
        <w:fldChar w:fldCharType="end"/>
      </w:r>
      <w:r>
        <w:rPr>
          <w:rFonts w:ascii="Times New Roman" w:hAnsi="Times New Roman" w:eastAsia="宋体"/>
          <w:highlight w:val="none"/>
        </w:rPr>
        <w:fldChar w:fldCharType="end"/>
      </w:r>
    </w:p>
    <w:p>
      <w:pPr>
        <w:pStyle w:val="12"/>
        <w:tabs>
          <w:tab w:val="right" w:leader="dot" w:pos="9072"/>
          <w:tab w:val="clear" w:pos="8296"/>
        </w:tabs>
      </w:pPr>
      <w:r>
        <w:rPr>
          <w:rFonts w:ascii="Times New Roman" w:hAnsi="Times New Roman" w:eastAsia="宋体"/>
          <w:highlight w:val="none"/>
        </w:rPr>
        <w:fldChar w:fldCharType="begin"/>
      </w:r>
      <w:r>
        <w:rPr>
          <w:rFonts w:ascii="Times New Roman" w:hAnsi="Times New Roman" w:eastAsia="宋体"/>
          <w:highlight w:val="none"/>
        </w:rPr>
        <w:instrText xml:space="preserve"> HYPERLINK \l _Toc23965 </w:instrText>
      </w:r>
      <w:r>
        <w:rPr>
          <w:rFonts w:ascii="Times New Roman" w:hAnsi="Times New Roman" w:eastAsia="宋体"/>
          <w:highlight w:val="none"/>
        </w:rPr>
        <w:fldChar w:fldCharType="separate"/>
      </w:r>
      <w:r>
        <w:rPr>
          <w:rFonts w:hint="eastAsia"/>
          <w:highlight w:val="none"/>
          <w:lang w:val="en-US" w:eastAsia="zh-CN"/>
        </w:rPr>
        <w:t>9</w:t>
      </w:r>
      <w:r>
        <w:rPr>
          <w:rFonts w:hint="eastAsia"/>
          <w:highlight w:val="none"/>
          <w:lang w:val="en-US"/>
        </w:rPr>
        <w:t>惩罚措施</w:t>
      </w:r>
      <w:r>
        <w:tab/>
      </w:r>
      <w:r>
        <w:fldChar w:fldCharType="begin"/>
      </w:r>
      <w:r>
        <w:instrText xml:space="preserve"> PAGEREF _Toc23965 \h </w:instrText>
      </w:r>
      <w:r>
        <w:fldChar w:fldCharType="separate"/>
      </w:r>
      <w:r>
        <w:t>51</w:t>
      </w:r>
      <w:r>
        <w:fldChar w:fldCharType="end"/>
      </w:r>
      <w:r>
        <w:rPr>
          <w:rFonts w:ascii="Times New Roman" w:hAnsi="Times New Roman" w:eastAsia="宋体"/>
          <w:highlight w:val="none"/>
        </w:rPr>
        <w:fldChar w:fldCharType="end"/>
      </w:r>
    </w:p>
    <w:p>
      <w:pPr>
        <w:rPr>
          <w:rFonts w:ascii="Times New Roman" w:hAnsi="Times New Roman" w:eastAsia="宋体"/>
          <w:highlight w:val="none"/>
        </w:rPr>
      </w:pPr>
      <w:r>
        <w:rPr>
          <w:rFonts w:ascii="Times New Roman" w:hAnsi="Times New Roman" w:eastAsia="宋体"/>
          <w:highlight w:val="none"/>
        </w:rPr>
        <w:fldChar w:fldCharType="end"/>
      </w:r>
    </w:p>
    <w:p>
      <w:pPr>
        <w:rPr>
          <w:rFonts w:ascii="Times New Roman" w:hAnsi="Times New Roman" w:eastAsia="宋体"/>
          <w:highlight w:val="none"/>
        </w:rPr>
      </w:pPr>
    </w:p>
    <w:p>
      <w:pPr>
        <w:pStyle w:val="3"/>
        <w:numPr>
          <w:ilvl w:val="0"/>
          <w:numId w:val="0"/>
        </w:numPr>
        <w:tabs>
          <w:tab w:val="left" w:pos="0"/>
        </w:tabs>
        <w:ind w:leftChars="0"/>
        <w:rPr>
          <w:rFonts w:ascii="Times New Roman" w:hAnsi="Times New Roman" w:eastAsia="宋体" w:cs="仿宋_GB2312"/>
          <w:highlight w:val="none"/>
        </w:rPr>
        <w:sectPr>
          <w:pgSz w:w="11906" w:h="16838"/>
          <w:pgMar w:top="1587" w:right="1417" w:bottom="1020" w:left="1417" w:header="851" w:footer="992" w:gutter="0"/>
          <w:pgNumType w:start="1"/>
          <w:cols w:space="425" w:num="1"/>
          <w:docGrid w:type="lines" w:linePitch="312" w:charSpace="0"/>
        </w:sectPr>
      </w:pPr>
      <w:bookmarkStart w:id="8" w:name="_Toc6618"/>
    </w:p>
    <w:p>
      <w:pPr>
        <w:pStyle w:val="3"/>
        <w:bidi w:val="0"/>
        <w:ind w:left="0" w:leftChars="0" w:firstLine="0" w:firstLineChars="0"/>
        <w:rPr>
          <w:highlight w:val="none"/>
        </w:rPr>
      </w:pPr>
      <w:bookmarkStart w:id="9" w:name="_Toc28513"/>
      <w:r>
        <w:rPr>
          <w:rFonts w:hint="eastAsia"/>
          <w:highlight w:val="none"/>
          <w:lang w:val="en-US" w:eastAsia="zh-CN"/>
        </w:rPr>
        <w:t>项目建设目标</w:t>
      </w:r>
      <w:bookmarkEnd w:id="2"/>
      <w:bookmarkEnd w:id="3"/>
      <w:bookmarkEnd w:id="4"/>
      <w:bookmarkEnd w:id="5"/>
      <w:bookmarkEnd w:id="6"/>
      <w:bookmarkEnd w:id="8"/>
      <w:bookmarkEnd w:id="9"/>
    </w:p>
    <w:bookmarkEnd w:id="7"/>
    <w:p>
      <w:pPr>
        <w:ind w:firstLine="420"/>
        <w:rPr>
          <w:rFonts w:hint="eastAsia" w:ascii="Times New Roman" w:hAnsi="Times New Roman" w:eastAsia="宋体" w:cs="仿宋_GB2312"/>
          <w:sz w:val="24"/>
          <w:szCs w:val="32"/>
          <w:highlight w:val="none"/>
        </w:rPr>
      </w:pPr>
      <w:bookmarkStart w:id="10" w:name="_Toc395886670"/>
      <w:bookmarkStart w:id="11" w:name="_Toc341946492"/>
      <w:bookmarkStart w:id="12" w:name="_Toc341790499"/>
      <w:bookmarkStart w:id="13" w:name="_Toc341200673"/>
      <w:bookmarkStart w:id="14" w:name="_Toc341790847"/>
      <w:r>
        <w:rPr>
          <w:rFonts w:hint="eastAsia" w:ascii="Times New Roman" w:hAnsi="Times New Roman" w:eastAsia="宋体" w:cs="仿宋_GB2312"/>
          <w:sz w:val="24"/>
          <w:szCs w:val="32"/>
          <w:highlight w:val="none"/>
        </w:rPr>
        <w:t>智慧工地建设作为一种数字化、信息化、智能化的工地管理模式，旨在建立一个跨组织、跨层级、跨专业的施工项目信息化生态圈，实现施工管理各参建方之间的信息共享、高效协同工作，并利用最新的技术手段，确保实时监管现场质量、安全、进度等动态。</w:t>
      </w:r>
    </w:p>
    <w:p>
      <w:pPr>
        <w:ind w:firstLine="420"/>
        <w:rPr>
          <w:highlight w:val="none"/>
        </w:rPr>
      </w:pPr>
      <w:r>
        <w:rPr>
          <w:rFonts w:hint="eastAsia" w:ascii="Times New Roman" w:hAnsi="Times New Roman" w:eastAsia="宋体" w:cs="仿宋_GB2312"/>
          <w:sz w:val="24"/>
          <w:szCs w:val="32"/>
          <w:highlight w:val="none"/>
        </w:rPr>
        <w:t>智慧工地的核心是数字化管理和实时监测</w:t>
      </w:r>
      <w:r>
        <w:rPr>
          <w:rFonts w:hint="eastAsia" w:cs="仿宋_GB2312"/>
          <w:sz w:val="24"/>
          <w:szCs w:val="32"/>
          <w:highlight w:val="none"/>
          <w:lang w:eastAsia="zh-CN"/>
        </w:rPr>
        <w:t>，</w:t>
      </w:r>
      <w:r>
        <w:rPr>
          <w:rFonts w:hint="eastAsia" w:ascii="Times New Roman" w:hAnsi="Times New Roman" w:eastAsia="宋体" w:cs="仿宋_GB2312"/>
          <w:sz w:val="24"/>
          <w:szCs w:val="32"/>
          <w:highlight w:val="none"/>
        </w:rPr>
        <w:t>通过在工地上安装各种传感器和设备，收集和分析工地内的数据，实现对建筑工地的实时监测、预警和管理。</w:t>
      </w:r>
      <w:r>
        <w:rPr>
          <w:rFonts w:hint="eastAsia" w:cs="仿宋_GB2312"/>
          <w:sz w:val="24"/>
          <w:szCs w:val="32"/>
          <w:highlight w:val="none"/>
          <w:lang w:val="en-US" w:eastAsia="zh-CN"/>
        </w:rPr>
        <w:t>同时，</w:t>
      </w:r>
      <w:r>
        <w:rPr>
          <w:rFonts w:hint="eastAsia" w:ascii="Times New Roman" w:hAnsi="Times New Roman" w:eastAsia="宋体" w:cs="仿宋_GB2312"/>
          <w:sz w:val="24"/>
          <w:szCs w:val="32"/>
          <w:highlight w:val="none"/>
        </w:rPr>
        <w:t>通过工地管理可视化系统，进一步落实企业安全监管责任，提高</w:t>
      </w:r>
      <w:r>
        <w:rPr>
          <w:rFonts w:hint="eastAsia" w:cs="仿宋_GB2312"/>
          <w:sz w:val="24"/>
          <w:szCs w:val="32"/>
          <w:highlight w:val="none"/>
          <w:lang w:eastAsia="zh-CN"/>
        </w:rPr>
        <w:t>聚碳项目</w:t>
      </w:r>
      <w:r>
        <w:rPr>
          <w:rFonts w:hint="eastAsia" w:ascii="Times New Roman" w:hAnsi="Times New Roman" w:eastAsia="宋体" w:cs="仿宋_GB2312"/>
          <w:sz w:val="24"/>
          <w:szCs w:val="32"/>
          <w:highlight w:val="none"/>
        </w:rPr>
        <w:t>对工程现场的远程管理水平，加快企业对工程现场安全隐患处理的速度。以物联网技术为技术手段，将科技技术力量与安全监管制度紧密集合，能够统一处置生产安全领域的各类事件，实现管理创新。</w:t>
      </w:r>
    </w:p>
    <w:p>
      <w:pPr>
        <w:pStyle w:val="3"/>
        <w:bidi w:val="0"/>
        <w:ind w:left="0" w:leftChars="0" w:firstLine="0" w:firstLineChars="0"/>
        <w:rPr>
          <w:highlight w:val="none"/>
        </w:rPr>
      </w:pPr>
      <w:bookmarkStart w:id="15" w:name="_Toc15111"/>
      <w:bookmarkStart w:id="16" w:name="_Toc9683"/>
      <w:r>
        <w:rPr>
          <w:rFonts w:hint="eastAsia"/>
          <w:highlight w:val="none"/>
        </w:rPr>
        <w:t>项目总体要求</w:t>
      </w:r>
      <w:bookmarkEnd w:id="10"/>
      <w:bookmarkEnd w:id="11"/>
      <w:bookmarkEnd w:id="12"/>
      <w:bookmarkEnd w:id="13"/>
      <w:bookmarkEnd w:id="14"/>
      <w:bookmarkEnd w:id="15"/>
      <w:bookmarkEnd w:id="16"/>
    </w:p>
    <w:p>
      <w:pPr>
        <w:pStyle w:val="2"/>
        <w:bidi w:val="0"/>
        <w:ind w:left="0" w:leftChars="0" w:firstLine="0" w:firstLineChars="0"/>
        <w:rPr>
          <w:highlight w:val="none"/>
        </w:rPr>
      </w:pPr>
      <w:bookmarkStart w:id="17" w:name="_Toc11942"/>
      <w:bookmarkStart w:id="18" w:name="_Toc9203"/>
      <w:r>
        <w:rPr>
          <w:rFonts w:hint="eastAsia"/>
          <w:highlight w:val="none"/>
        </w:rPr>
        <w:t>规程和标准</w:t>
      </w:r>
      <w:bookmarkEnd w:id="17"/>
      <w:bookmarkEnd w:id="18"/>
    </w:p>
    <w:p>
      <w:pPr>
        <w:ind w:firstLine="420"/>
        <w:rPr>
          <w:rFonts w:ascii="Times New Roman" w:hAnsi="Times New Roman" w:eastAsia="宋体" w:cs="仿宋_GB2312"/>
          <w:sz w:val="24"/>
          <w:szCs w:val="32"/>
          <w:highlight w:val="none"/>
        </w:rPr>
      </w:pPr>
      <w:r>
        <w:rPr>
          <w:rFonts w:hint="eastAsia" w:ascii="Times New Roman" w:hAnsi="Times New Roman" w:eastAsia="宋体" w:cs="仿宋_GB2312"/>
          <w:sz w:val="24"/>
          <w:szCs w:val="32"/>
          <w:highlight w:val="none"/>
        </w:rPr>
        <w:t>本方案的编制主要依据标准及规范，按最新版执行，包括且不限于：</w:t>
      </w:r>
    </w:p>
    <w:p>
      <w:pPr>
        <w:ind w:firstLine="420"/>
        <w:rPr>
          <w:rFonts w:hint="default" w:ascii="Times New Roman" w:hAnsi="Times New Roman" w:eastAsia="宋体" w:cs="仿宋_GB2312"/>
          <w:kern w:val="0"/>
          <w:sz w:val="24"/>
          <w:szCs w:val="32"/>
          <w:highlight w:val="none"/>
          <w:lang w:val="en-US" w:eastAsia="zh-CN"/>
        </w:rPr>
      </w:pPr>
      <w:r>
        <w:rPr>
          <w:rFonts w:hint="eastAsia" w:ascii="Times New Roman" w:hAnsi="Times New Roman" w:eastAsia="宋体" w:cs="仿宋_GB2312"/>
          <w:kern w:val="0"/>
          <w:sz w:val="24"/>
          <w:szCs w:val="32"/>
          <w:highlight w:val="none"/>
          <w:lang w:val="zh-CN"/>
        </w:rPr>
        <w:t>《智能建筑设计标准》</w:t>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cs="仿宋_GB2312"/>
          <w:kern w:val="0"/>
          <w:sz w:val="24"/>
          <w:szCs w:val="32"/>
          <w:highlight w:val="none"/>
          <w:lang w:val="en-US" w:eastAsia="zh-CN"/>
        </w:rPr>
        <w:t xml:space="preserve">   </w:t>
      </w:r>
      <w:r>
        <w:rPr>
          <w:rFonts w:hint="eastAsia" w:ascii="Times New Roman" w:hAnsi="Times New Roman" w:eastAsia="宋体" w:cs="仿宋_GB2312"/>
          <w:kern w:val="0"/>
          <w:sz w:val="24"/>
          <w:szCs w:val="32"/>
          <w:highlight w:val="none"/>
          <w:lang w:val="zh-CN"/>
        </w:rPr>
        <w:t>GB/T50314-20</w:t>
      </w:r>
      <w:r>
        <w:rPr>
          <w:rFonts w:hint="eastAsia" w:cs="仿宋_GB2312"/>
          <w:kern w:val="0"/>
          <w:sz w:val="24"/>
          <w:szCs w:val="32"/>
          <w:highlight w:val="none"/>
          <w:lang w:val="en-US" w:eastAsia="zh-CN"/>
        </w:rPr>
        <w:t>15</w:t>
      </w:r>
    </w:p>
    <w:p>
      <w:pPr>
        <w:ind w:firstLine="420"/>
        <w:rPr>
          <w:rFonts w:ascii="Times New Roman" w:hAnsi="Times New Roman" w:eastAsia="宋体" w:cs="仿宋_GB2312"/>
          <w:kern w:val="0"/>
          <w:sz w:val="24"/>
          <w:szCs w:val="32"/>
          <w:highlight w:val="none"/>
          <w:lang w:val="zh-CN"/>
        </w:rPr>
      </w:pPr>
      <w:r>
        <w:rPr>
          <w:rFonts w:hint="eastAsia" w:ascii="Times New Roman" w:hAnsi="Times New Roman" w:eastAsia="宋体" w:cs="仿宋_GB2312"/>
          <w:kern w:val="0"/>
          <w:sz w:val="24"/>
          <w:szCs w:val="32"/>
          <w:highlight w:val="none"/>
          <w:lang w:val="zh-CN"/>
        </w:rPr>
        <w:t>《民用建筑电气设计</w:t>
      </w:r>
      <w:r>
        <w:rPr>
          <w:rFonts w:hint="eastAsia" w:cs="仿宋_GB2312"/>
          <w:kern w:val="0"/>
          <w:sz w:val="24"/>
          <w:szCs w:val="32"/>
          <w:highlight w:val="none"/>
          <w:lang w:val="en-US" w:eastAsia="zh-CN"/>
        </w:rPr>
        <w:t>标准</w:t>
      </w:r>
      <w:r>
        <w:rPr>
          <w:rFonts w:hint="eastAsia" w:ascii="Times New Roman" w:hAnsi="Times New Roman" w:eastAsia="宋体" w:cs="仿宋_GB2312"/>
          <w:kern w:val="0"/>
          <w:sz w:val="24"/>
          <w:szCs w:val="32"/>
          <w:highlight w:val="none"/>
          <w:lang w:val="zh-CN"/>
        </w:rPr>
        <w:t>》</w:t>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cs="仿宋_GB2312"/>
          <w:kern w:val="0"/>
          <w:sz w:val="24"/>
          <w:szCs w:val="32"/>
          <w:highlight w:val="none"/>
          <w:lang w:val="en-US" w:eastAsia="zh-CN"/>
        </w:rPr>
        <w:t xml:space="preserve">   </w:t>
      </w:r>
      <w:r>
        <w:rPr>
          <w:rFonts w:hint="eastAsia" w:ascii="Times New Roman" w:hAnsi="Times New Roman" w:eastAsia="宋体" w:cs="仿宋_GB2312"/>
          <w:kern w:val="0"/>
          <w:sz w:val="24"/>
          <w:szCs w:val="32"/>
          <w:highlight w:val="none"/>
          <w:lang w:val="zh-CN"/>
        </w:rPr>
        <w:t>GB51348-2019</w:t>
      </w:r>
    </w:p>
    <w:p>
      <w:pPr>
        <w:ind w:firstLine="420"/>
        <w:rPr>
          <w:rFonts w:ascii="Times New Roman" w:hAnsi="Times New Roman" w:eastAsia="宋体" w:cs="仿宋_GB2312"/>
          <w:kern w:val="0"/>
          <w:sz w:val="24"/>
          <w:szCs w:val="32"/>
          <w:highlight w:val="none"/>
          <w:lang w:val="zh-CN"/>
        </w:rPr>
      </w:pPr>
      <w:r>
        <w:rPr>
          <w:rFonts w:hint="eastAsia" w:ascii="Times New Roman" w:hAnsi="Times New Roman" w:eastAsia="宋体" w:cs="仿宋_GB2312"/>
          <w:kern w:val="0"/>
          <w:sz w:val="24"/>
          <w:szCs w:val="32"/>
          <w:highlight w:val="none"/>
          <w:lang w:val="zh-CN"/>
        </w:rPr>
        <w:t>《视频安防监控</w:t>
      </w:r>
      <w:r>
        <w:rPr>
          <w:rFonts w:hint="eastAsia" w:cs="仿宋_GB2312"/>
          <w:kern w:val="0"/>
          <w:sz w:val="24"/>
          <w:szCs w:val="32"/>
          <w:highlight w:val="none"/>
          <w:lang w:val="en-US" w:eastAsia="zh-CN"/>
        </w:rPr>
        <w:t>系统</w:t>
      </w:r>
      <w:r>
        <w:rPr>
          <w:rFonts w:hint="eastAsia" w:ascii="Times New Roman" w:hAnsi="Times New Roman" w:eastAsia="宋体" w:cs="仿宋_GB2312"/>
          <w:kern w:val="0"/>
          <w:sz w:val="24"/>
          <w:szCs w:val="32"/>
          <w:highlight w:val="none"/>
          <w:lang w:val="zh-CN"/>
        </w:rPr>
        <w:t>工程设计规范》</w:t>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cs="仿宋_GB2312"/>
          <w:kern w:val="0"/>
          <w:sz w:val="24"/>
          <w:szCs w:val="32"/>
          <w:highlight w:val="none"/>
          <w:lang w:val="en-US" w:eastAsia="zh-CN"/>
        </w:rPr>
        <w:t xml:space="preserve">   </w:t>
      </w:r>
      <w:r>
        <w:rPr>
          <w:rFonts w:hint="eastAsia" w:ascii="Times New Roman" w:hAnsi="Times New Roman" w:eastAsia="宋体" w:cs="仿宋_GB2312"/>
          <w:kern w:val="0"/>
          <w:sz w:val="24"/>
          <w:szCs w:val="32"/>
          <w:highlight w:val="none"/>
          <w:lang w:val="zh-CN"/>
        </w:rPr>
        <w:t>GB50395-2007</w:t>
      </w:r>
    </w:p>
    <w:p>
      <w:pPr>
        <w:ind w:firstLine="420"/>
        <w:rPr>
          <w:rFonts w:ascii="Times New Roman" w:hAnsi="Times New Roman" w:eastAsia="宋体" w:cs="仿宋_GB2312"/>
          <w:kern w:val="0"/>
          <w:sz w:val="24"/>
          <w:szCs w:val="32"/>
          <w:highlight w:val="none"/>
          <w:lang w:val="zh-CN"/>
        </w:rPr>
      </w:pPr>
      <w:r>
        <w:rPr>
          <w:rFonts w:hint="eastAsia" w:ascii="Times New Roman" w:hAnsi="Times New Roman" w:eastAsia="宋体" w:cs="仿宋_GB2312"/>
          <w:kern w:val="0"/>
          <w:sz w:val="24"/>
          <w:szCs w:val="32"/>
          <w:highlight w:val="none"/>
          <w:lang w:val="zh-CN"/>
        </w:rPr>
        <w:t>《入侵报警系统工程设计规范》</w:t>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GB50394-2007</w:t>
      </w:r>
    </w:p>
    <w:p>
      <w:pPr>
        <w:ind w:firstLine="420"/>
        <w:rPr>
          <w:rFonts w:hint="default" w:ascii="Times New Roman" w:hAnsi="Times New Roman" w:eastAsia="宋体" w:cs="仿宋_GB2312"/>
          <w:kern w:val="0"/>
          <w:sz w:val="24"/>
          <w:szCs w:val="32"/>
          <w:highlight w:val="none"/>
          <w:lang w:val="en-US" w:eastAsia="zh-CN"/>
        </w:rPr>
      </w:pPr>
      <w:r>
        <w:rPr>
          <w:rFonts w:hint="eastAsia" w:ascii="Times New Roman" w:hAnsi="Times New Roman" w:eastAsia="宋体" w:cs="仿宋_GB2312"/>
          <w:kern w:val="0"/>
          <w:sz w:val="24"/>
          <w:szCs w:val="32"/>
          <w:highlight w:val="none"/>
          <w:lang w:val="zh-CN"/>
        </w:rPr>
        <w:t>《安全防范工程技术</w:t>
      </w:r>
      <w:r>
        <w:rPr>
          <w:rFonts w:hint="eastAsia" w:cs="仿宋_GB2312"/>
          <w:kern w:val="0"/>
          <w:sz w:val="24"/>
          <w:szCs w:val="32"/>
          <w:highlight w:val="none"/>
          <w:lang w:val="en-US" w:eastAsia="zh-CN"/>
        </w:rPr>
        <w:t>标准</w:t>
      </w:r>
      <w:r>
        <w:rPr>
          <w:rFonts w:hint="eastAsia" w:ascii="Times New Roman" w:hAnsi="Times New Roman" w:eastAsia="宋体" w:cs="仿宋_GB2312"/>
          <w:kern w:val="0"/>
          <w:sz w:val="24"/>
          <w:szCs w:val="32"/>
          <w:highlight w:val="none"/>
          <w:lang w:val="zh-CN"/>
        </w:rPr>
        <w:t>》</w:t>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GB503</w:t>
      </w:r>
      <w:r>
        <w:rPr>
          <w:rFonts w:hint="eastAsia" w:cs="仿宋_GB2312"/>
          <w:kern w:val="0"/>
          <w:sz w:val="24"/>
          <w:szCs w:val="32"/>
          <w:highlight w:val="none"/>
          <w:lang w:val="en-US" w:eastAsia="zh-CN"/>
        </w:rPr>
        <w:t>48</w:t>
      </w:r>
      <w:r>
        <w:rPr>
          <w:rFonts w:hint="eastAsia" w:ascii="Times New Roman" w:hAnsi="Times New Roman" w:eastAsia="宋体" w:cs="仿宋_GB2312"/>
          <w:kern w:val="0"/>
          <w:sz w:val="24"/>
          <w:szCs w:val="32"/>
          <w:highlight w:val="none"/>
          <w:lang w:val="zh-CN"/>
        </w:rPr>
        <w:t>-20</w:t>
      </w:r>
      <w:r>
        <w:rPr>
          <w:rFonts w:hint="eastAsia" w:cs="仿宋_GB2312"/>
          <w:kern w:val="0"/>
          <w:sz w:val="24"/>
          <w:szCs w:val="32"/>
          <w:highlight w:val="none"/>
          <w:lang w:val="en-US" w:eastAsia="zh-CN"/>
        </w:rPr>
        <w:t>18</w:t>
      </w:r>
    </w:p>
    <w:p>
      <w:pPr>
        <w:ind w:firstLine="420"/>
        <w:rPr>
          <w:rFonts w:ascii="Times New Roman" w:hAnsi="Times New Roman" w:eastAsia="宋体" w:cs="仿宋_GB2312"/>
          <w:kern w:val="0"/>
          <w:sz w:val="24"/>
          <w:szCs w:val="32"/>
          <w:highlight w:val="none"/>
          <w:lang w:val="zh-CN"/>
        </w:rPr>
      </w:pPr>
      <w:r>
        <w:rPr>
          <w:rFonts w:hint="eastAsia" w:ascii="Times New Roman" w:hAnsi="Times New Roman" w:eastAsia="宋体" w:cs="仿宋_GB2312"/>
          <w:kern w:val="0"/>
          <w:sz w:val="24"/>
          <w:szCs w:val="32"/>
          <w:highlight w:val="none"/>
          <w:lang w:val="zh-CN"/>
        </w:rPr>
        <w:t>《出入口控制系统工程设计规范》</w:t>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GB50396-2007</w:t>
      </w:r>
    </w:p>
    <w:p>
      <w:pPr>
        <w:ind w:firstLine="420"/>
        <w:rPr>
          <w:rFonts w:ascii="Times New Roman" w:hAnsi="Times New Roman" w:eastAsia="宋体" w:cs="仿宋_GB2312"/>
          <w:kern w:val="0"/>
          <w:sz w:val="24"/>
          <w:szCs w:val="32"/>
          <w:highlight w:val="none"/>
          <w:lang w:val="zh-CN"/>
        </w:rPr>
      </w:pPr>
      <w:r>
        <w:rPr>
          <w:rFonts w:hint="eastAsia" w:ascii="Times New Roman" w:hAnsi="Times New Roman" w:eastAsia="宋体" w:cs="仿宋_GB2312"/>
          <w:kern w:val="0"/>
          <w:sz w:val="24"/>
          <w:szCs w:val="32"/>
          <w:highlight w:val="none"/>
          <w:lang w:val="zh-CN"/>
        </w:rPr>
        <w:t>《民用闭路监视</w:t>
      </w:r>
      <w:r>
        <w:rPr>
          <w:rFonts w:hint="eastAsia" w:cs="仿宋_GB2312"/>
          <w:kern w:val="0"/>
          <w:sz w:val="24"/>
          <w:szCs w:val="32"/>
          <w:highlight w:val="none"/>
          <w:lang w:val="en-US" w:eastAsia="zh-CN"/>
        </w:rPr>
        <w:t>电视</w:t>
      </w:r>
      <w:r>
        <w:rPr>
          <w:rFonts w:hint="eastAsia" w:ascii="Times New Roman" w:hAnsi="Times New Roman" w:eastAsia="宋体" w:cs="仿宋_GB2312"/>
          <w:kern w:val="0"/>
          <w:sz w:val="24"/>
          <w:szCs w:val="32"/>
          <w:highlight w:val="none"/>
          <w:lang w:val="zh-CN"/>
        </w:rPr>
        <w:t>系统工程技术规范》</w:t>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GB50198-</w:t>
      </w:r>
      <w:r>
        <w:rPr>
          <w:rFonts w:hint="eastAsia" w:cs="仿宋_GB2312"/>
          <w:kern w:val="0"/>
          <w:sz w:val="24"/>
          <w:szCs w:val="32"/>
          <w:highlight w:val="none"/>
          <w:lang w:val="en-US" w:eastAsia="zh-CN"/>
        </w:rPr>
        <w:t>2011</w:t>
      </w:r>
    </w:p>
    <w:p>
      <w:pPr>
        <w:ind w:firstLine="420"/>
        <w:rPr>
          <w:rFonts w:hint="default" w:ascii="Times New Roman" w:hAnsi="Times New Roman" w:eastAsia="宋体" w:cs="仿宋_GB2312"/>
          <w:kern w:val="0"/>
          <w:sz w:val="24"/>
          <w:szCs w:val="32"/>
          <w:highlight w:val="none"/>
          <w:lang w:val="en-US" w:eastAsia="zh-CN"/>
        </w:rPr>
      </w:pPr>
      <w:r>
        <w:rPr>
          <w:rFonts w:hint="eastAsia" w:ascii="Times New Roman" w:hAnsi="Times New Roman" w:eastAsia="宋体" w:cs="仿宋_GB2312"/>
          <w:kern w:val="0"/>
          <w:sz w:val="24"/>
          <w:szCs w:val="32"/>
          <w:highlight w:val="none"/>
          <w:lang w:val="zh-CN"/>
        </w:rPr>
        <w:t>《工业电视系统工程设计</w:t>
      </w:r>
      <w:r>
        <w:rPr>
          <w:rFonts w:hint="eastAsia" w:cs="仿宋_GB2312"/>
          <w:kern w:val="0"/>
          <w:sz w:val="24"/>
          <w:szCs w:val="32"/>
          <w:highlight w:val="none"/>
          <w:lang w:val="en-US" w:eastAsia="zh-CN"/>
        </w:rPr>
        <w:t>标准</w:t>
      </w:r>
      <w:r>
        <w:rPr>
          <w:rFonts w:hint="eastAsia" w:ascii="Times New Roman" w:hAnsi="Times New Roman" w:eastAsia="宋体" w:cs="仿宋_GB2312"/>
          <w:kern w:val="0"/>
          <w:sz w:val="24"/>
          <w:szCs w:val="32"/>
          <w:highlight w:val="none"/>
          <w:lang w:val="zh-CN"/>
        </w:rPr>
        <w:t>》</w:t>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ab/>
      </w:r>
      <w:r>
        <w:rPr>
          <w:rFonts w:hint="eastAsia" w:ascii="Times New Roman" w:hAnsi="Times New Roman" w:eastAsia="宋体" w:cs="仿宋_GB2312"/>
          <w:kern w:val="0"/>
          <w:sz w:val="24"/>
          <w:szCs w:val="32"/>
          <w:highlight w:val="none"/>
          <w:lang w:val="zh-CN"/>
        </w:rPr>
        <w:t>GB</w:t>
      </w:r>
      <w:r>
        <w:rPr>
          <w:rFonts w:hint="eastAsia" w:cs="仿宋_GB2312"/>
          <w:kern w:val="0"/>
          <w:sz w:val="24"/>
          <w:szCs w:val="32"/>
          <w:highlight w:val="none"/>
          <w:lang w:val="en-US" w:eastAsia="zh-CN"/>
        </w:rPr>
        <w:t>50</w:t>
      </w:r>
      <w:r>
        <w:rPr>
          <w:rFonts w:hint="eastAsia" w:ascii="Times New Roman" w:hAnsi="Times New Roman" w:eastAsia="宋体" w:cs="仿宋_GB2312"/>
          <w:kern w:val="0"/>
          <w:sz w:val="24"/>
          <w:szCs w:val="32"/>
          <w:highlight w:val="none"/>
          <w:lang w:val="zh-CN"/>
        </w:rPr>
        <w:t>115-</w:t>
      </w:r>
      <w:r>
        <w:rPr>
          <w:rFonts w:hint="eastAsia" w:cs="仿宋_GB2312"/>
          <w:kern w:val="0"/>
          <w:sz w:val="24"/>
          <w:szCs w:val="32"/>
          <w:highlight w:val="none"/>
          <w:lang w:val="en-US" w:eastAsia="zh-CN"/>
        </w:rPr>
        <w:t>2019</w:t>
      </w:r>
    </w:p>
    <w:p>
      <w:pPr>
        <w:pStyle w:val="2"/>
        <w:bidi w:val="0"/>
        <w:ind w:left="0" w:leftChars="0" w:firstLine="0" w:firstLineChars="0"/>
        <w:rPr>
          <w:highlight w:val="none"/>
        </w:rPr>
      </w:pPr>
      <w:bookmarkStart w:id="19" w:name="_Toc341200674"/>
      <w:bookmarkStart w:id="20" w:name="_Toc395886671"/>
      <w:bookmarkStart w:id="21" w:name="_Toc341946493"/>
      <w:bookmarkStart w:id="22" w:name="_Toc341790848"/>
      <w:bookmarkStart w:id="23" w:name="_Toc341790500"/>
      <w:bookmarkStart w:id="24" w:name="_Toc24143"/>
      <w:bookmarkStart w:id="25" w:name="_Toc26206"/>
      <w:r>
        <w:rPr>
          <w:rFonts w:hint="eastAsia"/>
          <w:highlight w:val="none"/>
        </w:rPr>
        <w:t>实施</w:t>
      </w:r>
      <w:bookmarkEnd w:id="19"/>
      <w:bookmarkEnd w:id="20"/>
      <w:bookmarkEnd w:id="21"/>
      <w:bookmarkEnd w:id="22"/>
      <w:bookmarkEnd w:id="23"/>
      <w:r>
        <w:rPr>
          <w:rFonts w:hint="eastAsia"/>
          <w:highlight w:val="none"/>
        </w:rPr>
        <w:t>原则要求</w:t>
      </w:r>
      <w:bookmarkEnd w:id="24"/>
      <w:bookmarkEnd w:id="25"/>
    </w:p>
    <w:p>
      <w:pPr>
        <w:ind w:left="0" w:leftChars="0" w:firstLine="0" w:firstLineChars="0"/>
        <w:rPr>
          <w:rFonts w:ascii="Times New Roman" w:hAnsi="Times New Roman" w:eastAsia="宋体" w:cs="仿宋_GB2312"/>
          <w:color w:val="000000" w:themeColor="text1"/>
          <w:sz w:val="24"/>
          <w:szCs w:val="28"/>
          <w:highlight w:val="none"/>
          <w14:textFill>
            <w14:solidFill>
              <w14:schemeClr w14:val="tx1"/>
            </w14:solidFill>
          </w14:textFill>
        </w:rPr>
      </w:pPr>
      <w:bookmarkStart w:id="26" w:name="_Toc341946496"/>
      <w:bookmarkStart w:id="27" w:name="_Toc341200677"/>
      <w:bookmarkStart w:id="28" w:name="_Toc395886674"/>
      <w:bookmarkStart w:id="29" w:name="_Toc341790851"/>
      <w:bookmarkStart w:id="30" w:name="_Toc341790503"/>
      <w:r>
        <w:rPr>
          <w:rFonts w:hint="eastAsia" w:cs="仿宋_GB2312"/>
          <w:b/>
          <w:bCs/>
          <w:color w:val="000000" w:themeColor="text1"/>
          <w:sz w:val="24"/>
          <w:szCs w:val="28"/>
          <w:highlight w:val="none"/>
          <w:lang w:val="en-US" w:eastAsia="zh-CN"/>
          <w14:textFill>
            <w14:solidFill>
              <w14:schemeClr w14:val="tx1"/>
            </w14:solidFill>
          </w14:textFill>
        </w:rPr>
        <w:t>2.2.1</w:t>
      </w:r>
      <w:r>
        <w:rPr>
          <w:rFonts w:hint="eastAsia" w:ascii="Times New Roman" w:hAnsi="Times New Roman" w:eastAsia="宋体" w:cs="仿宋_GB2312"/>
          <w:color w:val="000000" w:themeColor="text1"/>
          <w:sz w:val="24"/>
          <w:szCs w:val="28"/>
          <w:highlight w:val="none"/>
          <w14:textFill>
            <w14:solidFill>
              <w14:schemeClr w14:val="tx1"/>
            </w14:solidFill>
          </w14:textFill>
        </w:rPr>
        <w:t>系统总体设计的指导思想是从企业的实际情况出发，充分利用管控一体化的方法和具体技术，根据实用性与先进性相结合的原则，实现目标要求，在项目的设计与实施过程中，遵循了以下的原则：</w:t>
      </w:r>
    </w:p>
    <w:p>
      <w:pPr>
        <w:bidi w:val="0"/>
        <w:ind w:left="0" w:leftChars="0" w:firstLine="0" w:firstLineChars="0"/>
        <w:rPr>
          <w:rFonts w:hint="eastAsia"/>
          <w:highlight w:val="none"/>
          <w:lang w:val="en-US" w:eastAsia="zh-CN"/>
        </w:rPr>
      </w:pPr>
      <w:bookmarkStart w:id="31" w:name="_Toc12340"/>
      <w:bookmarkStart w:id="32" w:name="_Toc77919726"/>
      <w:r>
        <w:rPr>
          <w:rFonts w:hint="eastAsia"/>
          <w:highlight w:val="none"/>
          <w:lang w:val="en-US" w:eastAsia="zh-CN"/>
        </w:rPr>
        <w:t>（1）安全性</w:t>
      </w:r>
      <w:bookmarkEnd w:id="31"/>
      <w:bookmarkEnd w:id="32"/>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应用安全可靠的隔离技术，在底层控制系统与本系统之间建立数据传输通道，保证数据的单向传输。同时，本系统应具有完备的策略以保证下层控制系统的稳定运行，保证本系统的应用软件对控制系统的正常运行不会构成影响。</w:t>
      </w:r>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采取可靠的技术手段，保证本系统的网络安全性，防止实时/历史数据库服务器受到黑客的攻击和病毒的侵扰，保证数据不被非法读取和修改，从而保证数据的一致性和完整性。</w:t>
      </w:r>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一般保证所有数据只可上传，不可修改，防止对控制系统造成影响。</w:t>
      </w:r>
    </w:p>
    <w:p>
      <w:pPr>
        <w:bidi w:val="0"/>
        <w:ind w:left="0" w:leftChars="0" w:firstLine="0" w:firstLineChars="0"/>
        <w:rPr>
          <w:rStyle w:val="26"/>
          <w:rFonts w:ascii="Times New Roman" w:hAnsi="Times New Roman" w:eastAsia="宋体" w:cs="仿宋_GB2312"/>
          <w:sz w:val="24"/>
          <w:szCs w:val="28"/>
          <w:highlight w:val="none"/>
        </w:rPr>
      </w:pPr>
      <w:bookmarkStart w:id="33" w:name="_Toc22166"/>
      <w:bookmarkStart w:id="34" w:name="_Toc77919727"/>
      <w:r>
        <w:rPr>
          <w:rStyle w:val="26"/>
          <w:rFonts w:hint="eastAsia" w:cs="仿宋_GB2312"/>
          <w:sz w:val="24"/>
          <w:szCs w:val="28"/>
          <w:highlight w:val="none"/>
          <w:lang w:eastAsia="zh-CN"/>
        </w:rPr>
        <w:t>（</w:t>
      </w:r>
      <w:r>
        <w:rPr>
          <w:rStyle w:val="26"/>
          <w:rFonts w:hint="eastAsia" w:cs="仿宋_GB2312"/>
          <w:sz w:val="24"/>
          <w:szCs w:val="28"/>
          <w:highlight w:val="none"/>
          <w:lang w:val="en-US" w:eastAsia="zh-CN"/>
        </w:rPr>
        <w:t>2</w:t>
      </w:r>
      <w:r>
        <w:rPr>
          <w:rStyle w:val="26"/>
          <w:rFonts w:hint="eastAsia" w:cs="仿宋_GB2312"/>
          <w:sz w:val="24"/>
          <w:szCs w:val="28"/>
          <w:highlight w:val="none"/>
          <w:lang w:eastAsia="zh-CN"/>
        </w:rPr>
        <w:t>）</w:t>
      </w:r>
      <w:r>
        <w:rPr>
          <w:rStyle w:val="26"/>
          <w:rFonts w:hint="eastAsia" w:ascii="Times New Roman" w:hAnsi="Times New Roman" w:eastAsia="宋体" w:cs="仿宋_GB2312"/>
          <w:sz w:val="24"/>
          <w:szCs w:val="28"/>
          <w:highlight w:val="none"/>
        </w:rPr>
        <w:t>可靠性</w:t>
      </w:r>
      <w:bookmarkEnd w:id="33"/>
      <w:bookmarkEnd w:id="34"/>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在本系统的设计过程中，可靠稳定性是第一要素，如果系统失去了可靠性，那么其它的一切优越性都将化为泡影。本项目系统包括多个子系统，如果系统没有可靠稳定性的保证，一旦出现故障将会给企业带来无法估量的损失。在系统设计时要从结构设计、产品选择以及网络管理上对此做出保证。</w:t>
      </w:r>
    </w:p>
    <w:p>
      <w:pPr>
        <w:bidi w:val="0"/>
        <w:ind w:left="0" w:leftChars="0" w:firstLine="0" w:firstLineChars="0"/>
        <w:rPr>
          <w:rStyle w:val="26"/>
          <w:rFonts w:ascii="Times New Roman" w:hAnsi="Times New Roman" w:eastAsia="宋体" w:cs="仿宋_GB2312"/>
          <w:sz w:val="24"/>
          <w:szCs w:val="28"/>
          <w:highlight w:val="none"/>
        </w:rPr>
      </w:pPr>
      <w:bookmarkStart w:id="35" w:name="_Toc4913"/>
      <w:r>
        <w:rPr>
          <w:rFonts w:hint="eastAsia"/>
          <w:highlight w:val="none"/>
          <w:lang w:val="en-US" w:eastAsia="zh-CN"/>
        </w:rPr>
        <w:t>（3）开放性</w:t>
      </w:r>
      <w:bookmarkEnd w:id="35"/>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系统的开放性设计包括开放性网络、支持多协议、具有良好的设备兼容性和互通互连能力等几个方面。本系统的软件平台要能提供多种数据访问方式，保证系统的开放性，并能与第三方软硬件兼容，实现系统间的无缝连接。</w:t>
      </w:r>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应用成熟、通用、符合国际标准的软件产品和开发技术，保证经过采集的数据能够被上层管理系统所用；允许用户或第三方依据现有的实时数据库平台灵活地进行二次定制开发。</w:t>
      </w:r>
    </w:p>
    <w:p>
      <w:pPr>
        <w:bidi w:val="0"/>
        <w:ind w:left="0" w:leftChars="0" w:firstLine="0" w:firstLineChars="0"/>
        <w:rPr>
          <w:rStyle w:val="26"/>
          <w:rFonts w:ascii="Times New Roman" w:hAnsi="Times New Roman" w:eastAsia="宋体" w:cs="仿宋_GB2312"/>
          <w:sz w:val="24"/>
          <w:szCs w:val="28"/>
          <w:highlight w:val="none"/>
        </w:rPr>
      </w:pPr>
      <w:bookmarkStart w:id="36" w:name="_Toc594"/>
      <w:bookmarkStart w:id="37" w:name="_Toc66846404"/>
      <w:r>
        <w:rPr>
          <w:rFonts w:hint="eastAsia"/>
          <w:highlight w:val="none"/>
          <w:lang w:val="en-US" w:eastAsia="zh-CN"/>
        </w:rPr>
        <w:t>（4）实用性</w:t>
      </w:r>
      <w:bookmarkEnd w:id="36"/>
      <w:bookmarkEnd w:id="37"/>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系统功能的实用性是衡量任何一个系统设计成功与否的基本标准，本系统的设计也同样如此。</w:t>
      </w:r>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本系统以需求为牵引，注重实效，既着眼于企业的长远发展，又强调企业近期的迫切需求，系统设计实施后，应该能够让企业以较低的维护投入而获得较大的效益回报。</w:t>
      </w:r>
    </w:p>
    <w:p>
      <w:pPr>
        <w:bidi w:val="0"/>
        <w:ind w:left="0" w:leftChars="0" w:firstLine="0" w:firstLineChars="0"/>
        <w:rPr>
          <w:rStyle w:val="26"/>
          <w:rFonts w:ascii="Times New Roman" w:hAnsi="Times New Roman" w:eastAsia="宋体" w:cs="仿宋_GB2312"/>
          <w:sz w:val="24"/>
          <w:szCs w:val="28"/>
          <w:highlight w:val="none"/>
        </w:rPr>
      </w:pPr>
      <w:bookmarkStart w:id="38" w:name="_Toc27016"/>
      <w:bookmarkStart w:id="39" w:name="_Toc66846405"/>
      <w:r>
        <w:rPr>
          <w:rFonts w:hint="eastAsia"/>
          <w:highlight w:val="none"/>
          <w:lang w:val="en-US" w:eastAsia="zh-CN"/>
        </w:rPr>
        <w:t>（5）先进性</w:t>
      </w:r>
      <w:bookmarkEnd w:id="38"/>
      <w:bookmarkEnd w:id="39"/>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在满足当前系统功能需要的前提下，本着高定位、高起点的指导思想，应用先进的软件设计方法、软件实现技术，包括系统应用平台、数据库技术、开发管理工具等。系统只有顺应先进的技术发展潮流，才可能具有较强的生命力。</w:t>
      </w:r>
    </w:p>
    <w:p>
      <w:pPr>
        <w:bidi w:val="0"/>
        <w:ind w:left="0" w:leftChars="0" w:firstLine="0" w:firstLineChars="0"/>
        <w:rPr>
          <w:rStyle w:val="26"/>
          <w:rFonts w:ascii="Times New Roman" w:hAnsi="Times New Roman" w:eastAsia="宋体" w:cs="仿宋_GB2312"/>
          <w:sz w:val="24"/>
          <w:szCs w:val="28"/>
          <w:highlight w:val="none"/>
        </w:rPr>
      </w:pPr>
      <w:bookmarkStart w:id="40" w:name="_Toc66846409"/>
      <w:bookmarkStart w:id="41" w:name="_Toc27592"/>
      <w:r>
        <w:rPr>
          <w:rStyle w:val="26"/>
          <w:rFonts w:hint="eastAsia" w:cs="仿宋_GB2312"/>
          <w:sz w:val="24"/>
          <w:szCs w:val="28"/>
          <w:highlight w:val="none"/>
          <w:lang w:eastAsia="zh-CN"/>
        </w:rPr>
        <w:t>（</w:t>
      </w:r>
      <w:r>
        <w:rPr>
          <w:rStyle w:val="26"/>
          <w:rFonts w:hint="eastAsia" w:cs="仿宋_GB2312"/>
          <w:sz w:val="24"/>
          <w:szCs w:val="28"/>
          <w:highlight w:val="none"/>
          <w:lang w:val="en-US" w:eastAsia="zh-CN"/>
        </w:rPr>
        <w:t>6</w:t>
      </w:r>
      <w:r>
        <w:rPr>
          <w:rStyle w:val="26"/>
          <w:rFonts w:hint="eastAsia" w:cs="仿宋_GB2312"/>
          <w:sz w:val="24"/>
          <w:szCs w:val="28"/>
          <w:highlight w:val="none"/>
          <w:lang w:eastAsia="zh-CN"/>
        </w:rPr>
        <w:t>）</w:t>
      </w:r>
      <w:r>
        <w:rPr>
          <w:rStyle w:val="26"/>
          <w:rFonts w:hint="eastAsia" w:ascii="Times New Roman" w:hAnsi="Times New Roman" w:eastAsia="宋体" w:cs="仿宋_GB2312"/>
          <w:sz w:val="24"/>
          <w:szCs w:val="28"/>
          <w:highlight w:val="none"/>
        </w:rPr>
        <w:t>可维护性</w:t>
      </w:r>
      <w:bookmarkEnd w:id="40"/>
      <w:bookmarkEnd w:id="41"/>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系统应具有完备的网络控制、诊断、测试功能和在线故障恢复能力，最终要使用户维护起来方便，维护成本低。</w:t>
      </w:r>
    </w:p>
    <w:p>
      <w:pPr>
        <w:bidi w:val="0"/>
        <w:ind w:left="0" w:leftChars="0" w:firstLine="0" w:firstLineChars="0"/>
        <w:rPr>
          <w:rStyle w:val="26"/>
          <w:rFonts w:ascii="Times New Roman" w:hAnsi="Times New Roman" w:eastAsia="宋体" w:cs="仿宋_GB2312"/>
          <w:sz w:val="24"/>
          <w:szCs w:val="28"/>
          <w:highlight w:val="none"/>
        </w:rPr>
      </w:pPr>
      <w:bookmarkStart w:id="42" w:name="_Toc31823"/>
      <w:r>
        <w:rPr>
          <w:rFonts w:hint="eastAsia"/>
          <w:highlight w:val="none"/>
          <w:lang w:val="en-US" w:eastAsia="zh-CN"/>
        </w:rPr>
        <w:t>（7）规范性</w:t>
      </w:r>
      <w:bookmarkEnd w:id="42"/>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建设智慧工地是一个系统工程，在建设过程中，统筹规划，统一标准，规范管理，应用系统工程的方法进行组织实施，保证系统实施进程的协调一致。</w:t>
      </w:r>
    </w:p>
    <w:p>
      <w:pPr>
        <w:bidi w:val="0"/>
        <w:ind w:left="0" w:leftChars="0" w:firstLine="0" w:firstLineChars="0"/>
        <w:rPr>
          <w:rStyle w:val="26"/>
          <w:rFonts w:ascii="Times New Roman" w:hAnsi="Times New Roman" w:eastAsia="宋体" w:cs="仿宋_GB2312"/>
          <w:sz w:val="24"/>
          <w:szCs w:val="28"/>
          <w:highlight w:val="none"/>
        </w:rPr>
      </w:pPr>
      <w:bookmarkStart w:id="43" w:name="_Toc2070"/>
      <w:r>
        <w:rPr>
          <w:rFonts w:hint="eastAsia"/>
          <w:highlight w:val="none"/>
          <w:lang w:val="en-US" w:eastAsia="zh-CN"/>
        </w:rPr>
        <w:t>（8）稳定性</w:t>
      </w:r>
      <w:bookmarkEnd w:id="43"/>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软硬件架构符合工业级应用要求，在系统设计和设备选型时，充分考虑选择设备、系统软件、网络系统和应用软件等各方面的可靠性，使系统具有相对的独立性，局部问题不会影响系统的正常进行；保证7*24小时不间断连续运行，防止系统崩溃。</w:t>
      </w:r>
    </w:p>
    <w:p>
      <w:pPr>
        <w:bidi w:val="0"/>
        <w:ind w:left="0" w:leftChars="0" w:firstLine="0" w:firstLineChars="0"/>
        <w:rPr>
          <w:rStyle w:val="26"/>
          <w:rFonts w:ascii="Times New Roman" w:hAnsi="Times New Roman" w:eastAsia="宋体" w:cs="仿宋_GB2312"/>
          <w:sz w:val="24"/>
          <w:szCs w:val="28"/>
          <w:highlight w:val="none"/>
        </w:rPr>
      </w:pPr>
      <w:bookmarkStart w:id="44" w:name="_Toc25375"/>
      <w:r>
        <w:rPr>
          <w:rStyle w:val="26"/>
          <w:rFonts w:hint="eastAsia" w:cs="仿宋_GB2312"/>
          <w:sz w:val="24"/>
          <w:szCs w:val="28"/>
          <w:highlight w:val="none"/>
          <w:lang w:eastAsia="zh-CN"/>
        </w:rPr>
        <w:t>（</w:t>
      </w:r>
      <w:r>
        <w:rPr>
          <w:rStyle w:val="26"/>
          <w:rFonts w:hint="eastAsia" w:cs="仿宋_GB2312"/>
          <w:sz w:val="24"/>
          <w:szCs w:val="28"/>
          <w:highlight w:val="none"/>
          <w:lang w:val="en-US" w:eastAsia="zh-CN"/>
        </w:rPr>
        <w:t>9</w:t>
      </w:r>
      <w:r>
        <w:rPr>
          <w:rStyle w:val="26"/>
          <w:rFonts w:hint="eastAsia" w:cs="仿宋_GB2312"/>
          <w:sz w:val="24"/>
          <w:szCs w:val="28"/>
          <w:highlight w:val="none"/>
          <w:lang w:eastAsia="zh-CN"/>
        </w:rPr>
        <w:t>）</w:t>
      </w:r>
      <w:r>
        <w:rPr>
          <w:rStyle w:val="26"/>
          <w:rFonts w:hint="eastAsia" w:ascii="Times New Roman" w:hAnsi="Times New Roman" w:eastAsia="宋体" w:cs="仿宋_GB2312"/>
          <w:sz w:val="24"/>
          <w:szCs w:val="28"/>
          <w:highlight w:val="none"/>
        </w:rPr>
        <w:t>可</w:t>
      </w:r>
      <w:r>
        <w:rPr>
          <w:rFonts w:hint="eastAsia"/>
          <w:highlight w:val="none"/>
          <w:lang w:val="en-US" w:eastAsia="zh-CN"/>
        </w:rPr>
        <w:t>扩展</w:t>
      </w:r>
      <w:r>
        <w:rPr>
          <w:rStyle w:val="26"/>
          <w:rFonts w:hint="eastAsia" w:ascii="Times New Roman" w:hAnsi="Times New Roman" w:eastAsia="宋体" w:cs="仿宋_GB2312"/>
          <w:sz w:val="24"/>
          <w:szCs w:val="28"/>
          <w:highlight w:val="none"/>
        </w:rPr>
        <w:t>性</w:t>
      </w:r>
      <w:bookmarkEnd w:id="44"/>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系统的软、硬件符合都可扩展性，系统配置和设计容量具有合理冗余，符合扩展需要。</w:t>
      </w:r>
    </w:p>
    <w:p>
      <w:pPr>
        <w:bidi w:val="0"/>
        <w:ind w:left="0" w:leftChars="0" w:firstLine="0" w:firstLineChars="0"/>
        <w:rPr>
          <w:rStyle w:val="26"/>
          <w:rFonts w:ascii="Times New Roman" w:hAnsi="Times New Roman" w:eastAsia="宋体" w:cs="仿宋_GB2312"/>
          <w:sz w:val="24"/>
          <w:szCs w:val="28"/>
          <w:highlight w:val="none"/>
        </w:rPr>
      </w:pPr>
      <w:bookmarkStart w:id="45" w:name="_Toc29589"/>
      <w:r>
        <w:rPr>
          <w:rStyle w:val="26"/>
          <w:rFonts w:hint="eastAsia" w:cs="仿宋_GB2312"/>
          <w:sz w:val="24"/>
          <w:szCs w:val="28"/>
          <w:highlight w:val="none"/>
          <w:lang w:eastAsia="zh-CN"/>
        </w:rPr>
        <w:t>（</w:t>
      </w:r>
      <w:r>
        <w:rPr>
          <w:rStyle w:val="26"/>
          <w:rFonts w:hint="eastAsia" w:cs="仿宋_GB2312"/>
          <w:sz w:val="24"/>
          <w:szCs w:val="28"/>
          <w:highlight w:val="none"/>
          <w:lang w:val="en-US" w:eastAsia="zh-CN"/>
        </w:rPr>
        <w:t>10</w:t>
      </w:r>
      <w:r>
        <w:rPr>
          <w:rStyle w:val="26"/>
          <w:rFonts w:hint="eastAsia" w:cs="仿宋_GB2312"/>
          <w:sz w:val="24"/>
          <w:szCs w:val="28"/>
          <w:highlight w:val="none"/>
          <w:lang w:eastAsia="zh-CN"/>
        </w:rPr>
        <w:t>）</w:t>
      </w:r>
      <w:r>
        <w:rPr>
          <w:rStyle w:val="26"/>
          <w:rFonts w:hint="eastAsia" w:ascii="Times New Roman" w:hAnsi="Times New Roman" w:eastAsia="宋体" w:cs="仿宋_GB2312"/>
          <w:sz w:val="24"/>
          <w:szCs w:val="28"/>
          <w:highlight w:val="none"/>
        </w:rPr>
        <w:t>投资</w:t>
      </w:r>
      <w:r>
        <w:rPr>
          <w:rFonts w:hint="eastAsia"/>
          <w:highlight w:val="none"/>
          <w:lang w:val="en-US" w:eastAsia="zh-CN"/>
        </w:rPr>
        <w:t>保护</w:t>
      </w:r>
      <w:bookmarkEnd w:id="45"/>
    </w:p>
    <w:p>
      <w:pPr>
        <w:ind w:firstLine="420"/>
        <w:rPr>
          <w:rFonts w:ascii="Times New Roman" w:hAnsi="Times New Roman" w:eastAsia="宋体" w:cs="仿宋_GB2312"/>
          <w:color w:val="000000" w:themeColor="text1"/>
          <w:sz w:val="24"/>
          <w:szCs w:val="28"/>
          <w:highlight w:val="none"/>
          <w14:textFill>
            <w14:solidFill>
              <w14:schemeClr w14:val="tx1"/>
            </w14:solidFill>
          </w14:textFill>
        </w:rPr>
      </w:pPr>
      <w:r>
        <w:rPr>
          <w:rFonts w:hint="eastAsia" w:ascii="Times New Roman" w:hAnsi="Times New Roman" w:eastAsia="宋体" w:cs="仿宋_GB2312"/>
          <w:color w:val="000000" w:themeColor="text1"/>
          <w:sz w:val="24"/>
          <w:szCs w:val="28"/>
          <w:highlight w:val="none"/>
          <w14:textFill>
            <w14:solidFill>
              <w14:schemeClr w14:val="tx1"/>
            </w14:solidFill>
          </w14:textFill>
        </w:rPr>
        <w:t>投资保护主要包括两方面，对用户以往投资的保护，即选择的结构应该最大限度地利用用户现有的设备、人力、网络资源，不让用户追加技术投资；对用户现在投资的保护，即用户的选择应该是可发展的，应该是可以在长时间内满足用户业务发展以及技术发展的需要。</w:t>
      </w:r>
    </w:p>
    <w:p>
      <w:pPr>
        <w:pStyle w:val="2"/>
        <w:bidi w:val="0"/>
        <w:ind w:left="0" w:leftChars="0" w:firstLine="0" w:firstLineChars="0"/>
        <w:rPr>
          <w:highlight w:val="none"/>
        </w:rPr>
      </w:pPr>
      <w:bookmarkStart w:id="46" w:name="_Toc17706"/>
      <w:bookmarkStart w:id="47" w:name="_Toc18287"/>
      <w:r>
        <w:rPr>
          <w:rFonts w:hint="eastAsia"/>
          <w:highlight w:val="none"/>
        </w:rPr>
        <w:t>工作范围</w:t>
      </w:r>
      <w:bookmarkEnd w:id="46"/>
      <w:bookmarkEnd w:id="47"/>
    </w:p>
    <w:p>
      <w:pPr>
        <w:ind w:firstLine="440"/>
        <w:rPr>
          <w:rFonts w:ascii="Times New Roman" w:hAnsi="Times New Roman" w:eastAsia="宋体"/>
          <w:highlight w:val="none"/>
          <w:lang w:val="fr-FR"/>
        </w:rPr>
      </w:pPr>
      <w:r>
        <w:rPr>
          <w:rFonts w:hint="eastAsia" w:ascii="Times New Roman" w:hAnsi="Times New Roman" w:eastAsia="宋体"/>
          <w:highlight w:val="none"/>
          <w:lang w:val="fr-FR"/>
        </w:rPr>
        <w:t>本工程包括智慧工地</w:t>
      </w:r>
      <w:r>
        <w:rPr>
          <w:rFonts w:hint="eastAsia"/>
          <w:highlight w:val="none"/>
          <w:lang w:val="en-US" w:eastAsia="zh-CN"/>
        </w:rPr>
        <w:t>服务的设计、</w:t>
      </w:r>
      <w:r>
        <w:rPr>
          <w:rFonts w:hint="eastAsia" w:ascii="Times New Roman" w:hAnsi="Times New Roman" w:eastAsia="宋体"/>
          <w:highlight w:val="none"/>
          <w:lang w:val="fr-FR"/>
        </w:rPr>
        <w:t>采购、安装调试及投用维护等一系列工作，</w:t>
      </w:r>
      <w:r>
        <w:rPr>
          <w:rFonts w:hint="eastAsia"/>
          <w:highlight w:val="none"/>
          <w:lang w:val="en-US" w:eastAsia="zh-CN"/>
        </w:rPr>
        <w:t>工作区域涵盖</w:t>
      </w:r>
      <w:r>
        <w:rPr>
          <w:rFonts w:hint="eastAsia" w:ascii="宋体" w:hAnsi="宋体" w:eastAsia="宋体" w:cs="宋体"/>
        </w:rPr>
        <w:t>大亚湾石化区C1厂区、C2预制场、惠州石化及C2管廊区、东联码头管廊区</w:t>
      </w:r>
      <w:r>
        <w:rPr>
          <w:rFonts w:hint="eastAsia" w:ascii="宋体" w:hAnsi="宋体" w:cs="宋体"/>
          <w:lang w:val="en-US" w:eastAsia="zh-CN"/>
        </w:rPr>
        <w:t>等</w:t>
      </w:r>
      <w:r>
        <w:rPr>
          <w:rFonts w:hint="eastAsia"/>
          <w:highlight w:val="none"/>
          <w:lang w:val="en-US" w:eastAsia="zh-CN"/>
        </w:rPr>
        <w:t>，</w:t>
      </w:r>
      <w:r>
        <w:rPr>
          <w:rFonts w:hint="eastAsia" w:ascii="Times New Roman" w:hAnsi="Times New Roman" w:eastAsia="宋体"/>
          <w:highlight w:val="none"/>
          <w:lang w:val="fr-FR"/>
        </w:rPr>
        <w:t>包括以下内容</w:t>
      </w:r>
      <w:r>
        <w:rPr>
          <w:rFonts w:ascii="Times New Roman" w:hAnsi="Times New Roman" w:eastAsia="宋体"/>
          <w:highlight w:val="none"/>
          <w:lang w:val="fr-FR"/>
        </w:rPr>
        <w:t>:</w:t>
      </w:r>
    </w:p>
    <w:p>
      <w:pPr>
        <w:pStyle w:val="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highlight w:val="none"/>
          <w:lang w:val="fr-FR"/>
        </w:rPr>
      </w:pPr>
      <w:r>
        <w:rPr>
          <w:rFonts w:hint="eastAsia" w:cs="宋体"/>
          <w:sz w:val="21"/>
          <w:szCs w:val="21"/>
          <w:highlight w:val="none"/>
          <w:lang w:val="en-US" w:eastAsia="zh-CN"/>
        </w:rPr>
        <w:t>表2.3-1</w:t>
      </w:r>
      <w:r>
        <w:rPr>
          <w:rFonts w:hint="eastAsia" w:ascii="Times New Roman" w:hAnsi="Times New Roman" w:eastAsia="宋体" w:cs="宋体"/>
          <w:sz w:val="21"/>
          <w:szCs w:val="21"/>
          <w:highlight w:val="none"/>
        </w:rPr>
        <w:t xml:space="preserve"> </w:t>
      </w:r>
      <w:r>
        <w:rPr>
          <w:rFonts w:hint="eastAsia" w:cs="宋体"/>
          <w:sz w:val="21"/>
          <w:szCs w:val="21"/>
          <w:highlight w:val="none"/>
          <w:lang w:val="en-US" w:eastAsia="zh-CN"/>
        </w:rPr>
        <w:t>工作范围</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297"/>
        <w:gridCol w:w="4431"/>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83" w:type="dxa"/>
            <w:shd w:val="clear" w:color="auto" w:fill="C0C0C0"/>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序号</w:t>
            </w:r>
          </w:p>
        </w:tc>
        <w:tc>
          <w:tcPr>
            <w:tcW w:w="1297" w:type="dxa"/>
            <w:shd w:val="clear" w:color="auto" w:fill="C0C0C0"/>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系统名称</w:t>
            </w:r>
          </w:p>
        </w:tc>
        <w:tc>
          <w:tcPr>
            <w:tcW w:w="4431" w:type="dxa"/>
            <w:shd w:val="clear" w:color="auto" w:fill="C0C0C0"/>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主要应用功能概述</w:t>
            </w:r>
          </w:p>
        </w:tc>
        <w:tc>
          <w:tcPr>
            <w:tcW w:w="1885" w:type="dxa"/>
            <w:shd w:val="clear" w:color="auto" w:fill="C0C0C0"/>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1</w:t>
            </w:r>
          </w:p>
        </w:tc>
        <w:tc>
          <w:tcPr>
            <w:tcW w:w="1297"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default" w:ascii="Times New Roman" w:hAnsi="Times New Roman" w:eastAsia="宋体" w:cs="宋体"/>
                <w:b w:val="0"/>
                <w:sz w:val="21"/>
                <w:szCs w:val="21"/>
                <w:highlight w:val="none"/>
                <w:lang w:val="en-US" w:eastAsia="zh-CN"/>
              </w:rPr>
            </w:pPr>
            <w:r>
              <w:rPr>
                <w:rFonts w:hint="eastAsia" w:cs="宋体"/>
                <w:b w:val="0"/>
                <w:sz w:val="21"/>
                <w:szCs w:val="21"/>
                <w:highlight w:val="none"/>
                <w:lang w:val="en-US" w:eastAsia="zh-CN"/>
              </w:rPr>
              <w:t>中心控制室</w:t>
            </w:r>
          </w:p>
        </w:tc>
        <w:tc>
          <w:tcPr>
            <w:tcW w:w="4431"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default" w:ascii="Times New Roman" w:hAnsi="Times New Roman" w:eastAsia="宋体" w:cs="宋体"/>
                <w:b w:val="0"/>
                <w:sz w:val="21"/>
                <w:szCs w:val="21"/>
                <w:highlight w:val="none"/>
                <w:lang w:val="en-US" w:eastAsia="zh-CN"/>
              </w:rPr>
            </w:pPr>
            <w:r>
              <w:rPr>
                <w:rFonts w:hint="eastAsia" w:cs="宋体"/>
                <w:b w:val="0"/>
                <w:sz w:val="21"/>
                <w:szCs w:val="21"/>
                <w:highlight w:val="none"/>
                <w:lang w:val="en-US" w:eastAsia="zh-CN"/>
              </w:rPr>
              <w:t>包括控制室机柜设备安装、接线；</w:t>
            </w:r>
          </w:p>
        </w:tc>
        <w:tc>
          <w:tcPr>
            <w:tcW w:w="1885"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kern w:val="2"/>
                <w:sz w:val="21"/>
                <w:szCs w:val="21"/>
                <w:highlight w:val="none"/>
                <w:lang w:val="en-US" w:eastAsia="zh-CN" w:bidi="ar-SA"/>
              </w:rPr>
            </w:pPr>
            <w:r>
              <w:rPr>
                <w:rFonts w:hint="eastAsia" w:ascii="Times New Roman" w:hAnsi="Times New Roman" w:eastAsia="宋体" w:cs="宋体"/>
                <w:b w:val="0"/>
                <w:sz w:val="21"/>
                <w:szCs w:val="21"/>
                <w:highlight w:val="none"/>
              </w:rPr>
              <w:t>1</w:t>
            </w:r>
          </w:p>
        </w:tc>
        <w:tc>
          <w:tcPr>
            <w:tcW w:w="1297"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kern w:val="2"/>
                <w:sz w:val="21"/>
                <w:szCs w:val="21"/>
                <w:highlight w:val="none"/>
                <w:lang w:val="en-US" w:eastAsia="zh-CN" w:bidi="ar-SA"/>
              </w:rPr>
            </w:pPr>
            <w:r>
              <w:rPr>
                <w:rFonts w:hint="eastAsia" w:cs="宋体"/>
                <w:b w:val="0"/>
                <w:sz w:val="21"/>
                <w:szCs w:val="21"/>
                <w:highlight w:val="none"/>
                <w:lang w:val="en-US" w:eastAsia="zh-CN"/>
              </w:rPr>
              <w:t>并入车辆</w:t>
            </w:r>
            <w:r>
              <w:rPr>
                <w:rFonts w:hint="eastAsia" w:ascii="Times New Roman" w:hAnsi="Times New Roman" w:eastAsia="宋体" w:cs="宋体"/>
                <w:b w:val="0"/>
                <w:sz w:val="21"/>
                <w:szCs w:val="21"/>
                <w:highlight w:val="none"/>
              </w:rPr>
              <w:t>入口管理系统</w:t>
            </w:r>
          </w:p>
        </w:tc>
        <w:tc>
          <w:tcPr>
            <w:tcW w:w="4431"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kern w:val="2"/>
                <w:sz w:val="21"/>
                <w:szCs w:val="21"/>
                <w:highlight w:val="none"/>
                <w:lang w:val="en-US" w:eastAsia="zh-CN" w:bidi="ar-SA"/>
              </w:rPr>
            </w:pPr>
            <w:r>
              <w:rPr>
                <w:rFonts w:hint="eastAsia" w:ascii="Times New Roman" w:hAnsi="Times New Roman" w:eastAsia="宋体" w:cs="宋体"/>
                <w:b w:val="0"/>
                <w:sz w:val="21"/>
                <w:szCs w:val="21"/>
                <w:highlight w:val="none"/>
              </w:rPr>
              <w:t>通过车辆出入证及车牌识别，实现对车辆的出入进行管理和记录，确保车辆使用的合理性和安全性。通过车辆台账管理，实现对车辆的全面管理和控制，提高车辆的使用效率和安全性。</w:t>
            </w:r>
          </w:p>
        </w:tc>
        <w:tc>
          <w:tcPr>
            <w:tcW w:w="1885"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default" w:ascii="Times New Roman" w:hAnsi="Times New Roman" w:eastAsia="宋体" w:cs="宋体"/>
                <w:b w:val="0"/>
                <w:sz w:val="21"/>
                <w:szCs w:val="21"/>
                <w:highlight w:val="none"/>
                <w:lang w:val="en-US" w:eastAsia="zh-CN"/>
              </w:rPr>
            </w:pPr>
            <w:r>
              <w:rPr>
                <w:rFonts w:hint="eastAsia" w:cs="宋体"/>
                <w:b w:val="0"/>
                <w:sz w:val="21"/>
                <w:szCs w:val="21"/>
                <w:highlight w:val="none"/>
                <w:lang w:val="en-US" w:eastAsia="zh-CN"/>
              </w:rPr>
              <w:t>将聚碳项目现有门禁车辆数据接入三期海康平台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2</w:t>
            </w:r>
          </w:p>
        </w:tc>
        <w:tc>
          <w:tcPr>
            <w:tcW w:w="1297"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cs="宋体"/>
                <w:b w:val="0"/>
                <w:sz w:val="21"/>
                <w:szCs w:val="21"/>
                <w:highlight w:val="none"/>
                <w:lang w:val="en-US" w:eastAsia="zh-CN"/>
              </w:rPr>
              <w:t>并入</w:t>
            </w:r>
            <w:r>
              <w:rPr>
                <w:rFonts w:hint="eastAsia" w:ascii="Times New Roman" w:hAnsi="Times New Roman" w:eastAsia="宋体" w:cs="宋体"/>
                <w:b w:val="0"/>
                <w:sz w:val="21"/>
                <w:szCs w:val="21"/>
                <w:highlight w:val="none"/>
              </w:rPr>
              <w:t>人员出入管理系统</w:t>
            </w:r>
          </w:p>
        </w:tc>
        <w:tc>
          <w:tcPr>
            <w:tcW w:w="4431"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实现对工地人员的全面管理，提高工人的技能和素质，为企业的可持续发展提供有力支撑。同时，通过资质管理、门禁管控和承包商人员实名制管理，实时监管项目人员，提高工地的安全性和管理水平。</w:t>
            </w:r>
          </w:p>
        </w:tc>
        <w:tc>
          <w:tcPr>
            <w:tcW w:w="1885"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cs="宋体"/>
                <w:b w:val="0"/>
                <w:sz w:val="21"/>
                <w:szCs w:val="21"/>
                <w:highlight w:val="none"/>
                <w:lang w:val="en-US" w:eastAsia="zh-CN"/>
              </w:rPr>
              <w:t>将聚碳项目现有门禁人员数据接入三期海康平台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lang w:eastAsia="zh-CN"/>
              </w:rPr>
            </w:pPr>
            <w:r>
              <w:rPr>
                <w:rFonts w:hint="eastAsia" w:cs="宋体"/>
                <w:b w:val="0"/>
                <w:sz w:val="21"/>
                <w:szCs w:val="21"/>
                <w:highlight w:val="none"/>
                <w:lang w:val="en-US" w:eastAsia="zh-CN"/>
              </w:rPr>
              <w:t>3</w:t>
            </w:r>
          </w:p>
        </w:tc>
        <w:tc>
          <w:tcPr>
            <w:tcW w:w="1297"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default" w:ascii="Times New Roman" w:hAnsi="Times New Roman" w:eastAsia="宋体" w:cs="宋体"/>
                <w:b w:val="0"/>
                <w:sz w:val="21"/>
                <w:szCs w:val="21"/>
                <w:highlight w:val="none"/>
                <w:lang w:val="en-US" w:eastAsia="zh-CN"/>
              </w:rPr>
            </w:pPr>
            <w:r>
              <w:rPr>
                <w:rFonts w:hint="eastAsia" w:cs="宋体"/>
                <w:b w:val="0"/>
                <w:sz w:val="21"/>
                <w:szCs w:val="21"/>
                <w:highlight w:val="none"/>
                <w:lang w:val="en-US" w:eastAsia="zh-CN"/>
              </w:rPr>
              <w:t>主干道测速</w:t>
            </w:r>
          </w:p>
        </w:tc>
        <w:tc>
          <w:tcPr>
            <w:tcW w:w="4431"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default" w:ascii="Times New Roman" w:hAnsi="Times New Roman" w:eastAsia="宋体" w:cs="宋体"/>
                <w:b w:val="0"/>
                <w:sz w:val="21"/>
                <w:szCs w:val="21"/>
                <w:highlight w:val="none"/>
                <w:lang w:val="en-US" w:eastAsia="zh-CN"/>
              </w:rPr>
            </w:pPr>
            <w:r>
              <w:rPr>
                <w:rFonts w:hint="eastAsia" w:cs="宋体"/>
                <w:b w:val="0"/>
                <w:sz w:val="21"/>
                <w:szCs w:val="21"/>
                <w:highlight w:val="none"/>
                <w:lang w:val="en-US" w:eastAsia="zh-CN"/>
              </w:rPr>
              <w:t>在园区内主干道设置测速一体机，对园区内的车辆进行测试，实现对超速车辆的记录；</w:t>
            </w:r>
          </w:p>
        </w:tc>
        <w:tc>
          <w:tcPr>
            <w:tcW w:w="1885"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default" w:ascii="Times New Roman" w:hAnsi="Times New Roman" w:eastAsia="宋体" w:cs="宋体"/>
                <w:b w:val="0"/>
                <w:sz w:val="21"/>
                <w:szCs w:val="21"/>
                <w:highlight w:val="none"/>
                <w:lang w:val="en-US" w:eastAsia="zh-CN"/>
              </w:rPr>
            </w:pPr>
            <w:r>
              <w:rPr>
                <w:rFonts w:hint="eastAsia" w:cs="宋体"/>
                <w:b w:val="0"/>
                <w:sz w:val="21"/>
                <w:szCs w:val="21"/>
                <w:highlight w:val="none"/>
                <w:lang w:val="en-US" w:eastAsia="zh-CN"/>
              </w:rPr>
              <w:t>接入智慧工地平台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lang w:eastAsia="zh-CN"/>
              </w:rPr>
            </w:pPr>
            <w:r>
              <w:rPr>
                <w:rFonts w:hint="eastAsia" w:cs="宋体"/>
                <w:b w:val="0"/>
                <w:sz w:val="21"/>
                <w:szCs w:val="21"/>
                <w:highlight w:val="none"/>
                <w:lang w:val="en-US" w:eastAsia="zh-CN"/>
              </w:rPr>
              <w:t>4</w:t>
            </w:r>
          </w:p>
        </w:tc>
        <w:tc>
          <w:tcPr>
            <w:tcW w:w="1297"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视频监控系统</w:t>
            </w:r>
          </w:p>
        </w:tc>
        <w:tc>
          <w:tcPr>
            <w:tcW w:w="4431"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可进行实时监控、录像回看、人像抓拍、</w:t>
            </w:r>
            <w:r>
              <w:rPr>
                <w:rFonts w:hint="eastAsia" w:cs="宋体"/>
                <w:b w:val="0"/>
                <w:sz w:val="21"/>
                <w:szCs w:val="21"/>
                <w:highlight w:val="none"/>
                <w:lang w:val="en-US" w:eastAsia="zh-CN"/>
              </w:rPr>
              <w:t>周界</w:t>
            </w:r>
            <w:r>
              <w:rPr>
                <w:rFonts w:hint="eastAsia" w:ascii="Times New Roman" w:hAnsi="Times New Roman" w:eastAsia="宋体" w:cs="宋体"/>
                <w:b w:val="0"/>
                <w:sz w:val="21"/>
                <w:szCs w:val="21"/>
                <w:highlight w:val="none"/>
              </w:rPr>
              <w:t>监控、人员和</w:t>
            </w:r>
            <w:r>
              <w:rPr>
                <w:rFonts w:hint="eastAsia" w:cs="宋体"/>
                <w:b w:val="0"/>
                <w:sz w:val="21"/>
                <w:szCs w:val="21"/>
                <w:highlight w:val="none"/>
                <w:lang w:val="en-US" w:eastAsia="zh-CN"/>
              </w:rPr>
              <w:t>门岗</w:t>
            </w:r>
            <w:r>
              <w:rPr>
                <w:rFonts w:hint="eastAsia" w:ascii="Times New Roman" w:hAnsi="Times New Roman" w:eastAsia="宋体" w:cs="宋体"/>
                <w:b w:val="0"/>
                <w:sz w:val="21"/>
                <w:szCs w:val="21"/>
                <w:highlight w:val="none"/>
              </w:rPr>
              <w:t>车辆监控、</w:t>
            </w:r>
            <w:r>
              <w:rPr>
                <w:rFonts w:hint="eastAsia" w:cs="宋体"/>
                <w:b w:val="0"/>
                <w:sz w:val="21"/>
                <w:szCs w:val="21"/>
                <w:highlight w:val="none"/>
                <w:lang w:val="en-US" w:eastAsia="zh-CN"/>
              </w:rPr>
              <w:t>大门</w:t>
            </w:r>
            <w:r>
              <w:rPr>
                <w:rFonts w:hint="eastAsia" w:ascii="Times New Roman" w:hAnsi="Times New Roman" w:eastAsia="宋体" w:cs="宋体"/>
                <w:b w:val="0"/>
                <w:sz w:val="21"/>
                <w:szCs w:val="21"/>
                <w:highlight w:val="none"/>
              </w:rPr>
              <w:t>出口及人员通道的监控、</w:t>
            </w:r>
            <w:r>
              <w:rPr>
                <w:rFonts w:hint="eastAsia" w:cs="宋体"/>
                <w:b w:val="0"/>
                <w:sz w:val="21"/>
                <w:szCs w:val="21"/>
                <w:highlight w:val="none"/>
                <w:lang w:val="en-US" w:eastAsia="zh-CN"/>
              </w:rPr>
              <w:t>现场</w:t>
            </w:r>
            <w:r>
              <w:rPr>
                <w:rFonts w:hint="eastAsia" w:ascii="Times New Roman" w:hAnsi="Times New Roman" w:eastAsia="宋体" w:cs="宋体"/>
                <w:b w:val="0"/>
                <w:sz w:val="21"/>
                <w:szCs w:val="21"/>
                <w:highlight w:val="none"/>
              </w:rPr>
              <w:t>施工作业面的移动监控等。</w:t>
            </w:r>
          </w:p>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基于视频监控系统的视频分析服务器，可通过视频画面取流，进行人脸识别，未带安全帽等劳保用品的识别。</w:t>
            </w:r>
          </w:p>
        </w:tc>
        <w:tc>
          <w:tcPr>
            <w:tcW w:w="1885"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cs="宋体"/>
                <w:b w:val="0"/>
                <w:sz w:val="21"/>
                <w:szCs w:val="21"/>
                <w:highlight w:val="none"/>
                <w:lang w:val="en-US" w:eastAsia="zh-CN"/>
              </w:rPr>
              <w:t>将聚碳项目现有视频设备（海康）接入三期海康平台，与海康平台兼容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default" w:ascii="Times New Roman" w:hAnsi="Times New Roman" w:eastAsia="宋体" w:cs="宋体"/>
                <w:b w:val="0"/>
                <w:sz w:val="21"/>
                <w:szCs w:val="21"/>
                <w:highlight w:val="none"/>
                <w:lang w:val="en-US" w:eastAsia="zh-CN"/>
              </w:rPr>
            </w:pPr>
            <w:r>
              <w:rPr>
                <w:rFonts w:hint="eastAsia" w:cs="宋体"/>
                <w:b w:val="0"/>
                <w:sz w:val="21"/>
                <w:szCs w:val="21"/>
                <w:highlight w:val="none"/>
                <w:lang w:val="en-US" w:eastAsia="zh-CN"/>
              </w:rPr>
              <w:t>5</w:t>
            </w:r>
          </w:p>
        </w:tc>
        <w:tc>
          <w:tcPr>
            <w:tcW w:w="1297"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系统集成</w:t>
            </w:r>
          </w:p>
        </w:tc>
        <w:tc>
          <w:tcPr>
            <w:tcW w:w="4431"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cs="宋体"/>
                <w:b w:val="0"/>
                <w:sz w:val="21"/>
                <w:szCs w:val="21"/>
                <w:highlight w:val="none"/>
                <w:lang w:val="en-US" w:eastAsia="zh-CN"/>
              </w:rPr>
              <w:t>各系统提供标准接口，</w:t>
            </w:r>
            <w:r>
              <w:rPr>
                <w:rFonts w:hint="eastAsia" w:ascii="Times New Roman" w:hAnsi="Times New Roman" w:eastAsia="宋体" w:cs="宋体"/>
                <w:b w:val="0"/>
                <w:sz w:val="21"/>
                <w:szCs w:val="21"/>
                <w:highlight w:val="none"/>
              </w:rPr>
              <w:t>配合项目管理系统及智慧工地系统</w:t>
            </w:r>
            <w:r>
              <w:rPr>
                <w:rFonts w:hint="eastAsia" w:cs="宋体"/>
                <w:b w:val="0"/>
                <w:sz w:val="21"/>
                <w:szCs w:val="21"/>
                <w:highlight w:val="none"/>
                <w:lang w:eastAsia="zh-CN"/>
              </w:rPr>
              <w:t>的</w:t>
            </w:r>
            <w:r>
              <w:rPr>
                <w:rFonts w:hint="eastAsia" w:cs="宋体"/>
                <w:b w:val="0"/>
                <w:sz w:val="21"/>
                <w:szCs w:val="21"/>
                <w:highlight w:val="none"/>
                <w:lang w:val="en-US" w:eastAsia="zh-CN"/>
              </w:rPr>
              <w:t>接口集成，</w:t>
            </w:r>
            <w:r>
              <w:rPr>
                <w:rFonts w:hint="eastAsia" w:ascii="Times New Roman" w:hAnsi="Times New Roman" w:eastAsia="宋体" w:cs="宋体"/>
                <w:b w:val="0"/>
                <w:sz w:val="21"/>
                <w:szCs w:val="21"/>
                <w:highlight w:val="none"/>
              </w:rPr>
              <w:t>配合</w:t>
            </w:r>
            <w:r>
              <w:rPr>
                <w:rFonts w:hint="eastAsia" w:cs="宋体"/>
                <w:b w:val="0"/>
                <w:sz w:val="21"/>
                <w:szCs w:val="21"/>
                <w:highlight w:val="none"/>
                <w:lang w:val="en-US" w:eastAsia="zh-CN"/>
              </w:rPr>
              <w:t>招标方相关</w:t>
            </w:r>
            <w:r>
              <w:rPr>
                <w:rFonts w:hint="eastAsia" w:ascii="Times New Roman" w:hAnsi="Times New Roman" w:eastAsia="宋体" w:cs="宋体"/>
                <w:b w:val="0"/>
                <w:sz w:val="21"/>
                <w:szCs w:val="21"/>
                <w:highlight w:val="none"/>
              </w:rPr>
              <w:t>系统集成工作</w:t>
            </w:r>
          </w:p>
        </w:tc>
        <w:tc>
          <w:tcPr>
            <w:tcW w:w="1885"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lang w:eastAsia="zh-CN"/>
              </w:rPr>
            </w:pPr>
            <w:r>
              <w:rPr>
                <w:rFonts w:hint="eastAsia" w:cs="宋体"/>
                <w:b w:val="0"/>
                <w:sz w:val="21"/>
                <w:szCs w:val="21"/>
                <w:highlight w:val="none"/>
                <w:lang w:val="en-US" w:eastAsia="zh-CN"/>
              </w:rPr>
              <w:t>6</w:t>
            </w:r>
          </w:p>
        </w:tc>
        <w:tc>
          <w:tcPr>
            <w:tcW w:w="1297"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施工</w:t>
            </w:r>
          </w:p>
        </w:tc>
        <w:tc>
          <w:tcPr>
            <w:tcW w:w="4431"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为实现本项目智慧工地</w:t>
            </w:r>
            <w:r>
              <w:rPr>
                <w:rFonts w:hint="eastAsia" w:cs="宋体"/>
                <w:b w:val="0"/>
                <w:sz w:val="21"/>
                <w:szCs w:val="21"/>
                <w:highlight w:val="none"/>
                <w:lang w:val="en-US" w:eastAsia="zh-CN"/>
              </w:rPr>
              <w:t>各系统</w:t>
            </w:r>
            <w:r>
              <w:rPr>
                <w:rFonts w:hint="eastAsia" w:ascii="Times New Roman" w:hAnsi="Times New Roman" w:eastAsia="宋体" w:cs="宋体"/>
                <w:b w:val="0"/>
                <w:sz w:val="21"/>
                <w:szCs w:val="21"/>
                <w:highlight w:val="none"/>
              </w:rPr>
              <w:t>所需的</w:t>
            </w:r>
            <w:r>
              <w:rPr>
                <w:rFonts w:hint="eastAsia" w:cs="宋体"/>
                <w:b w:val="0"/>
                <w:sz w:val="21"/>
                <w:szCs w:val="21"/>
                <w:highlight w:val="none"/>
                <w:lang w:val="en-US" w:eastAsia="zh-CN"/>
              </w:rPr>
              <w:t>设备安装调试接线</w:t>
            </w:r>
            <w:r>
              <w:rPr>
                <w:rFonts w:hint="eastAsia" w:ascii="Times New Roman" w:hAnsi="Times New Roman" w:eastAsia="宋体" w:cs="宋体"/>
                <w:b w:val="0"/>
                <w:sz w:val="21"/>
                <w:szCs w:val="21"/>
                <w:highlight w:val="none"/>
              </w:rPr>
              <w:t>及</w:t>
            </w:r>
            <w:r>
              <w:rPr>
                <w:rFonts w:hint="eastAsia" w:cs="宋体"/>
                <w:b w:val="0"/>
                <w:sz w:val="21"/>
                <w:szCs w:val="21"/>
                <w:highlight w:val="none"/>
                <w:lang w:val="en-US" w:eastAsia="zh-CN"/>
              </w:rPr>
              <w:t>拆除入库</w:t>
            </w:r>
            <w:r>
              <w:rPr>
                <w:rFonts w:hint="eastAsia" w:ascii="Times New Roman" w:hAnsi="Times New Roman" w:eastAsia="宋体" w:cs="宋体"/>
                <w:b w:val="0"/>
                <w:sz w:val="21"/>
                <w:szCs w:val="21"/>
                <w:highlight w:val="none"/>
              </w:rPr>
              <w:t>、破路、穿管、预埋、恢复等一切实施工作</w:t>
            </w:r>
          </w:p>
        </w:tc>
        <w:tc>
          <w:tcPr>
            <w:tcW w:w="1885"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default" w:ascii="Times New Roman" w:hAnsi="Times New Roman" w:eastAsia="宋体" w:cs="宋体"/>
                <w:b w:val="0"/>
                <w:sz w:val="21"/>
                <w:szCs w:val="21"/>
                <w:highlight w:val="none"/>
                <w:lang w:val="en-US"/>
              </w:rPr>
            </w:pPr>
            <w:r>
              <w:rPr>
                <w:rFonts w:hint="eastAsia"/>
                <w:sz w:val="21"/>
                <w:szCs w:val="21"/>
                <w:highlight w:val="none"/>
                <w:lang w:val="en-US" w:eastAsia="zh-CN"/>
              </w:rPr>
              <w:t>需满足建设单位与招标方对系统设备的安装指定及移位要求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default" w:ascii="Times New Roman" w:hAnsi="Times New Roman" w:eastAsia="宋体" w:cs="宋体"/>
                <w:b w:val="0"/>
                <w:sz w:val="21"/>
                <w:szCs w:val="21"/>
                <w:highlight w:val="none"/>
                <w:lang w:val="en-US" w:eastAsia="zh-CN"/>
              </w:rPr>
            </w:pPr>
            <w:r>
              <w:rPr>
                <w:rFonts w:hint="eastAsia" w:cs="宋体"/>
                <w:b w:val="0"/>
                <w:sz w:val="21"/>
                <w:szCs w:val="21"/>
                <w:highlight w:val="none"/>
                <w:lang w:val="en-US" w:eastAsia="zh-CN"/>
              </w:rPr>
              <w:t>7</w:t>
            </w:r>
          </w:p>
        </w:tc>
        <w:tc>
          <w:tcPr>
            <w:tcW w:w="1297"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运维</w:t>
            </w:r>
          </w:p>
        </w:tc>
        <w:tc>
          <w:tcPr>
            <w:tcW w:w="4431"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系统维护及设备更换维修，包含本方案涉及到的所有工作区域和设备设施</w:t>
            </w:r>
          </w:p>
        </w:tc>
        <w:tc>
          <w:tcPr>
            <w:tcW w:w="1885"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p>
        </w:tc>
      </w:tr>
    </w:tbl>
    <w:p>
      <w:pPr>
        <w:bidi w:val="0"/>
        <w:rPr>
          <w:rFonts w:hint="default"/>
          <w:b/>
          <w:bCs/>
          <w:sz w:val="21"/>
          <w:szCs w:val="21"/>
          <w:highlight w:val="none"/>
          <w:lang w:val="en-US" w:eastAsia="zh-CN"/>
        </w:rPr>
      </w:pPr>
      <w:bookmarkStart w:id="48" w:name="_Toc15969"/>
      <w:r>
        <w:rPr>
          <w:rFonts w:hint="eastAsia"/>
          <w:b/>
          <w:bCs/>
          <w:sz w:val="21"/>
          <w:szCs w:val="21"/>
          <w:highlight w:val="none"/>
          <w:lang w:val="en-US" w:eastAsia="zh-CN"/>
        </w:rPr>
        <w:t>注：※需依照建设单位与招标方指定位置进行安装及移位，相关要求不大于2次。</w:t>
      </w:r>
    </w:p>
    <w:p>
      <w:pPr>
        <w:pStyle w:val="3"/>
        <w:bidi w:val="0"/>
        <w:ind w:left="0" w:leftChars="0" w:firstLine="0" w:firstLineChars="0"/>
        <w:rPr>
          <w:highlight w:val="none"/>
        </w:rPr>
      </w:pPr>
      <w:bookmarkStart w:id="49" w:name="_Toc24917"/>
      <w:r>
        <w:rPr>
          <w:rFonts w:hint="eastAsia"/>
          <w:highlight w:val="none"/>
        </w:rPr>
        <w:t>项目方案与管理</w:t>
      </w:r>
      <w:bookmarkEnd w:id="26"/>
      <w:bookmarkEnd w:id="27"/>
      <w:bookmarkEnd w:id="28"/>
      <w:bookmarkEnd w:id="29"/>
      <w:bookmarkEnd w:id="30"/>
      <w:bookmarkEnd w:id="48"/>
      <w:bookmarkEnd w:id="49"/>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投标方应对本实施项目总体协调，承担智慧工地实施过程中的项目管理责任，包括针对项目方案设计、项目进度、实施风险、资源投入以及最终交付品的总体管理。投标方应在事前提出明确的项目质量管理标准和流程，提供确保其内部质量程序遵循项目管理的方法概要，提供招标方所要求的质量保证的活动。在项目启动后由双方人员共同商议，并由招标方最终认可。</w:t>
      </w:r>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投标方应用科学、高效、可行的项目管理方法和工具来进行项目管理，须针对本项目成立专门的项目组，该项目组能够依据项目管理体系制定并严格执行项目实施过程中的咨询方案、进度计划和其他管理方案，保证按计划、在预算内、保质保量完成招标方委托的项目工作。</w:t>
      </w:r>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投标方在各阶段应提交完整的项目管理文档。</w:t>
      </w:r>
    </w:p>
    <w:p>
      <w:pPr>
        <w:pStyle w:val="2"/>
        <w:bidi w:val="0"/>
        <w:ind w:left="0" w:leftChars="0" w:firstLine="0" w:firstLineChars="0"/>
        <w:rPr>
          <w:highlight w:val="none"/>
        </w:rPr>
      </w:pPr>
      <w:bookmarkStart w:id="50" w:name="_Toc15229"/>
      <w:bookmarkStart w:id="51" w:name="_Toc8981"/>
      <w:r>
        <w:rPr>
          <w:rFonts w:hint="eastAsia"/>
          <w:highlight w:val="none"/>
        </w:rPr>
        <w:t>项目计划</w:t>
      </w:r>
      <w:bookmarkEnd w:id="50"/>
      <w:bookmarkEnd w:id="51"/>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投标方应根据本标书的业务功能需求及技术需求详细阐述建议的项目实施计划和具体工作内容，编制明确的里程碑计划，明确项目各阶段工作时间进度表。</w:t>
      </w:r>
    </w:p>
    <w:p>
      <w:pPr>
        <w:pStyle w:val="2"/>
        <w:bidi w:val="0"/>
        <w:ind w:left="0" w:leftChars="0" w:firstLine="0" w:firstLineChars="0"/>
        <w:rPr>
          <w:highlight w:val="none"/>
        </w:rPr>
      </w:pPr>
      <w:bookmarkStart w:id="52" w:name="_Toc6972"/>
      <w:bookmarkStart w:id="53" w:name="_Toc12804"/>
      <w:r>
        <w:rPr>
          <w:rFonts w:hint="eastAsia"/>
          <w:highlight w:val="none"/>
        </w:rPr>
        <w:t>建设方案与策略</w:t>
      </w:r>
      <w:bookmarkEnd w:id="52"/>
      <w:bookmarkEnd w:id="53"/>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投标方应给出整体建设方案与策略，具体应包括但不限于：</w:t>
      </w:r>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需要投标方从实施策略、项目组织架构及职责、实施计划及保障措施、作业方案、作业质量保证措施、作业安全措置、项目例会制度、问题处理机制、里程碑节点控制、设备安装及调试、施工协调、系统验收等方面，根据本项目规模和本招标文件给定的假设条件，制定合理、可行的项目投标方法论，提供确保项目成功上线的资源保障和措施。</w:t>
      </w:r>
    </w:p>
    <w:p>
      <w:pPr>
        <w:pStyle w:val="2"/>
        <w:bidi w:val="0"/>
        <w:ind w:left="0" w:leftChars="0" w:firstLine="0" w:firstLineChars="0"/>
        <w:rPr>
          <w:highlight w:val="none"/>
        </w:rPr>
      </w:pPr>
      <w:bookmarkStart w:id="54" w:name="_Toc2505"/>
      <w:bookmarkStart w:id="55" w:name="_Toc14844"/>
      <w:r>
        <w:rPr>
          <w:rFonts w:hint="eastAsia"/>
          <w:highlight w:val="none"/>
        </w:rPr>
        <w:t>项目管理机制</w:t>
      </w:r>
      <w:bookmarkEnd w:id="54"/>
      <w:bookmarkEnd w:id="55"/>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基于项目全生命周期管理，进行严格的项目管理与控制，包含但不限于下述内容：</w:t>
      </w:r>
    </w:p>
    <w:p>
      <w:pPr>
        <w:pStyle w:val="4"/>
        <w:bidi w:val="0"/>
        <w:ind w:left="0" w:leftChars="0" w:firstLine="0" w:firstLineChars="0"/>
        <w:rPr>
          <w:highlight w:val="none"/>
        </w:rPr>
      </w:pPr>
      <w:bookmarkStart w:id="56" w:name="_Toc18895"/>
      <w:bookmarkStart w:id="57" w:name="_Toc410"/>
      <w:r>
        <w:rPr>
          <w:rFonts w:hint="eastAsia"/>
          <w:highlight w:val="none"/>
        </w:rPr>
        <w:t>组织机构</w:t>
      </w:r>
      <w:bookmarkEnd w:id="56"/>
      <w:bookmarkEnd w:id="57"/>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投标方应根据本项目的工作需要，设置合理的项目组织结构，应提供项目组织机构图。</w:t>
      </w:r>
    </w:p>
    <w:p>
      <w:pPr>
        <w:pStyle w:val="4"/>
        <w:bidi w:val="0"/>
        <w:ind w:left="0" w:leftChars="0" w:firstLine="0" w:firstLineChars="0"/>
        <w:rPr>
          <w:highlight w:val="none"/>
        </w:rPr>
      </w:pPr>
      <w:bookmarkStart w:id="58" w:name="_Toc4367"/>
      <w:bookmarkStart w:id="59" w:name="_Toc18743"/>
      <w:r>
        <w:rPr>
          <w:rFonts w:hint="eastAsia"/>
          <w:highlight w:val="none"/>
        </w:rPr>
        <w:t>组织职责与定位</w:t>
      </w:r>
      <w:bookmarkEnd w:id="58"/>
      <w:bookmarkEnd w:id="59"/>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投标方应根据建立的项目组织机构情况，详细描述具体职责和工作内容。</w:t>
      </w:r>
    </w:p>
    <w:p>
      <w:pPr>
        <w:pStyle w:val="4"/>
        <w:bidi w:val="0"/>
        <w:ind w:left="0" w:leftChars="0" w:firstLine="0" w:firstLineChars="0"/>
        <w:rPr>
          <w:highlight w:val="none"/>
        </w:rPr>
      </w:pPr>
      <w:bookmarkStart w:id="60" w:name="_Toc26194"/>
      <w:bookmarkStart w:id="61" w:name="_Toc8164"/>
      <w:r>
        <w:rPr>
          <w:rFonts w:hint="eastAsia"/>
          <w:highlight w:val="none"/>
        </w:rPr>
        <w:t>投标方项目组角色和职责</w:t>
      </w:r>
      <w:bookmarkEnd w:id="60"/>
      <w:bookmarkEnd w:id="61"/>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作为本项目的投标方，应给出具体角色和职责，如下表所示举例供参考：</w:t>
      </w:r>
    </w:p>
    <w:p>
      <w:pPr>
        <w:pStyle w:val="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highlight w:val="none"/>
          <w:lang w:val="en-US"/>
        </w:rPr>
      </w:pPr>
      <w:r>
        <w:rPr>
          <w:rFonts w:hint="eastAsia" w:cs="宋体"/>
          <w:sz w:val="21"/>
          <w:szCs w:val="21"/>
          <w:highlight w:val="none"/>
          <w:lang w:val="en-US" w:eastAsia="zh-CN"/>
        </w:rPr>
        <w:t>表3.3-1</w:t>
      </w:r>
      <w:r>
        <w:rPr>
          <w:rFonts w:hint="eastAsia" w:ascii="Times New Roman" w:hAnsi="Times New Roman" w:eastAsia="宋体" w:cs="宋体"/>
          <w:sz w:val="21"/>
          <w:szCs w:val="21"/>
          <w:highlight w:val="none"/>
        </w:rPr>
        <w:t xml:space="preserve"> </w:t>
      </w:r>
      <w:r>
        <w:rPr>
          <w:rFonts w:hint="eastAsia" w:cs="宋体"/>
          <w:sz w:val="21"/>
          <w:szCs w:val="21"/>
          <w:highlight w:val="none"/>
          <w:lang w:val="en-US" w:eastAsia="zh-CN"/>
        </w:rPr>
        <w:t>角色职责表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4" w:type="dxa"/>
            <w:shd w:val="clear" w:color="auto" w:fill="C0C0C0"/>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角色</w:t>
            </w:r>
          </w:p>
        </w:tc>
        <w:tc>
          <w:tcPr>
            <w:tcW w:w="4264" w:type="dxa"/>
            <w:shd w:val="clear" w:color="auto" w:fill="C0C0C0"/>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4"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项目负责人</w:t>
            </w:r>
          </w:p>
        </w:tc>
        <w:tc>
          <w:tcPr>
            <w:tcW w:w="4264"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4"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项目经理</w:t>
            </w:r>
          </w:p>
        </w:tc>
        <w:tc>
          <w:tcPr>
            <w:tcW w:w="4264"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4"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w:t>
            </w:r>
          </w:p>
        </w:tc>
        <w:tc>
          <w:tcPr>
            <w:tcW w:w="4264" w:type="dxa"/>
            <w:vAlign w:val="center"/>
          </w:tcPr>
          <w:p>
            <w:pPr>
              <w:pStyle w:val="8"/>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val="0"/>
              <w:jc w:val="center"/>
              <w:textAlignment w:val="auto"/>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w:t>
            </w:r>
          </w:p>
        </w:tc>
      </w:tr>
    </w:tbl>
    <w:p>
      <w:pPr>
        <w:ind w:left="0" w:leftChars="0" w:firstLine="0" w:firstLineChars="0"/>
        <w:rPr>
          <w:rFonts w:hint="eastAsia" w:ascii="Times New Roman" w:hAnsi="Times New Roman" w:eastAsia="宋体"/>
          <w:highlight w:val="none"/>
          <w:lang w:val="fr-FR"/>
        </w:rPr>
      </w:pPr>
      <w:r>
        <w:rPr>
          <w:rFonts w:hint="eastAsia"/>
          <w:highlight w:val="none"/>
          <w:lang w:val="fr-FR" w:eastAsia="zh-CN"/>
        </w:rPr>
        <w:t>（</w:t>
      </w:r>
      <w:r>
        <w:rPr>
          <w:rFonts w:hint="eastAsia"/>
          <w:highlight w:val="none"/>
          <w:lang w:val="en-US" w:eastAsia="zh-CN"/>
        </w:rPr>
        <w:t>1</w:t>
      </w:r>
      <w:r>
        <w:rPr>
          <w:rFonts w:hint="eastAsia"/>
          <w:highlight w:val="none"/>
          <w:lang w:val="fr-FR" w:eastAsia="zh-CN"/>
        </w:rPr>
        <w:t>）</w:t>
      </w:r>
      <w:r>
        <w:rPr>
          <w:rFonts w:hint="eastAsia" w:ascii="Times New Roman" w:hAnsi="Times New Roman" w:eastAsia="宋体"/>
          <w:highlight w:val="none"/>
          <w:lang w:val="fr-FR"/>
        </w:rPr>
        <w:t>投标方项目人员详细情况及要求</w:t>
      </w:r>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招标方深知项目总监、项目经理及其带领的团队成员对本项目的实施深度、广度、质量等起着决定性的作用，因此投标方应提供包括但不限于以下内容：</w:t>
      </w:r>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投标方人员详细情况（如：在本项目中担当的角色、参与的阶段、参与的人天数等）。必须在投标书中指定将来用于本项目的人员（所有人员招标方要面试）的职责、计划安排在本项目上的时间。主要人员原则上不允许更换，如更换，必须经招标方同意，且更换的人员必须与被更换人员具有更高或相同的能力。</w:t>
      </w:r>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项目组中的核心人员（项目经理、施工经理、技术负责人、质量负责人、安全员、文控等）为投标方公司具有同类项目三年及以上工作经验、实施过大型智慧化或者智能化项目经验的骨干人员，项目实施内容必须包括门禁、视频监控、人员定位、网络通信等相关项目特征信息。</w:t>
      </w:r>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项目经理需具备</w:t>
      </w:r>
      <w:r>
        <w:rPr>
          <w:rFonts w:hint="eastAsia"/>
          <w:highlight w:val="none"/>
          <w:lang w:val="en-US" w:eastAsia="zh-CN"/>
        </w:rPr>
        <w:t>高级工程师证书或</w:t>
      </w:r>
      <w:r>
        <w:rPr>
          <w:rFonts w:hint="eastAsia" w:ascii="Times New Roman" w:hAnsi="Times New Roman" w:eastAsia="宋体"/>
          <w:highlight w:val="none"/>
          <w:lang w:val="fr-FR"/>
        </w:rPr>
        <w:t>二级建造师</w:t>
      </w:r>
      <w:r>
        <w:rPr>
          <w:rFonts w:hint="eastAsia"/>
          <w:highlight w:val="none"/>
          <w:lang w:val="en-US" w:eastAsia="zh-CN"/>
        </w:rPr>
        <w:t>以上</w:t>
      </w:r>
      <w:r>
        <w:rPr>
          <w:rFonts w:hint="eastAsia" w:ascii="Times New Roman" w:hAnsi="Times New Roman" w:eastAsia="宋体"/>
          <w:highlight w:val="none"/>
          <w:lang w:val="fr-FR"/>
        </w:rPr>
        <w:t>职业资格；安全经理需具备建筑施工企业三类人员C证</w:t>
      </w:r>
      <w:r>
        <w:rPr>
          <w:rFonts w:hint="eastAsia"/>
          <w:highlight w:val="none"/>
          <w:lang w:val="en-US" w:eastAsia="zh-CN"/>
        </w:rPr>
        <w:t>以上资格</w:t>
      </w:r>
      <w:r>
        <w:rPr>
          <w:rFonts w:hint="eastAsia" w:ascii="Times New Roman" w:hAnsi="Times New Roman" w:eastAsia="宋体"/>
          <w:highlight w:val="none"/>
          <w:lang w:val="fr-FR"/>
        </w:rPr>
        <w:t>。</w:t>
      </w:r>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施工期项目经理、施工经理、安全经理、技术负责人及项目文员要长期驻场。运维期技术负责人应驻场配合服务。</w:t>
      </w:r>
    </w:p>
    <w:p>
      <w:pPr>
        <w:ind w:left="0" w:leftChars="0" w:firstLine="0" w:firstLineChars="0"/>
        <w:rPr>
          <w:rFonts w:hint="eastAsia" w:ascii="Times New Roman" w:hAnsi="Times New Roman" w:eastAsia="宋体"/>
          <w:highlight w:val="none"/>
          <w:lang w:val="fr-FR"/>
        </w:rPr>
      </w:pPr>
      <w:r>
        <w:rPr>
          <w:rFonts w:hint="eastAsia"/>
          <w:highlight w:val="none"/>
          <w:lang w:val="fr-FR" w:eastAsia="zh-CN"/>
        </w:rPr>
        <w:t>（</w:t>
      </w:r>
      <w:r>
        <w:rPr>
          <w:rFonts w:hint="eastAsia"/>
          <w:highlight w:val="none"/>
          <w:lang w:val="en-US" w:eastAsia="zh-CN"/>
        </w:rPr>
        <w:t>2</w:t>
      </w:r>
      <w:r>
        <w:rPr>
          <w:rFonts w:hint="eastAsia"/>
          <w:highlight w:val="none"/>
          <w:lang w:val="fr-FR" w:eastAsia="zh-CN"/>
        </w:rPr>
        <w:t>）</w:t>
      </w:r>
      <w:r>
        <w:rPr>
          <w:rFonts w:hint="eastAsia" w:ascii="Times New Roman" w:hAnsi="Times New Roman" w:eastAsia="宋体"/>
          <w:highlight w:val="none"/>
          <w:lang w:val="fr-FR"/>
        </w:rPr>
        <w:t>招标方将有权对投标方项目组人员进行测评，并可提出更换人员的要求，投标方应按照招标方要求，更换合适的人员。</w:t>
      </w:r>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在项目实施全过程中，招标方有对项目进度和质量进行监督控制的职责和权力，投标方应全面配合，确保人力、物力的足量投入，定期向招标方提交最新的进展情况和风险分析报告。</w:t>
      </w:r>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招标方有权要求投标方更换项目实施人员直至满意为止。</w:t>
      </w:r>
    </w:p>
    <w:p>
      <w:pPr>
        <w:pStyle w:val="4"/>
        <w:bidi w:val="0"/>
        <w:ind w:left="0" w:leftChars="0" w:firstLine="0" w:firstLineChars="0"/>
        <w:rPr>
          <w:highlight w:val="none"/>
        </w:rPr>
      </w:pPr>
      <w:bookmarkStart w:id="62" w:name="_Toc9027"/>
      <w:bookmarkStart w:id="63" w:name="_Toc30708"/>
      <w:r>
        <w:rPr>
          <w:rFonts w:hint="eastAsia"/>
          <w:highlight w:val="none"/>
        </w:rPr>
        <w:t>系统测试方案及质量控制和保证方案</w:t>
      </w:r>
      <w:bookmarkEnd w:id="62"/>
      <w:bookmarkEnd w:id="63"/>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需要投标方详细阐述系统测试方案、质量控制和保证方案，建立严格的质量保证体系。</w:t>
      </w:r>
    </w:p>
    <w:p>
      <w:pPr>
        <w:pStyle w:val="4"/>
        <w:bidi w:val="0"/>
        <w:ind w:left="0" w:leftChars="0" w:firstLine="0" w:firstLineChars="0"/>
        <w:rPr>
          <w:highlight w:val="none"/>
        </w:rPr>
      </w:pPr>
      <w:bookmarkStart w:id="64" w:name="_Toc4900"/>
      <w:bookmarkStart w:id="65" w:name="_Toc6013"/>
      <w:r>
        <w:rPr>
          <w:rFonts w:hint="eastAsia"/>
          <w:highlight w:val="none"/>
        </w:rPr>
        <w:t>风险管理与控制</w:t>
      </w:r>
      <w:bookmarkEnd w:id="64"/>
      <w:bookmarkEnd w:id="65"/>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需要投标方从建立完善的风险识别管理机制、风险分析、风险预防与控制方法、风险应对及确保项目成功等方面，进行详细阐述说明。</w:t>
      </w:r>
    </w:p>
    <w:p>
      <w:pPr>
        <w:pStyle w:val="4"/>
        <w:bidi w:val="0"/>
        <w:ind w:left="0" w:leftChars="0" w:firstLine="0" w:firstLineChars="0"/>
        <w:rPr>
          <w:highlight w:val="none"/>
        </w:rPr>
      </w:pPr>
      <w:bookmarkStart w:id="66" w:name="_Toc25850"/>
      <w:bookmarkStart w:id="67" w:name="_Toc24960"/>
      <w:r>
        <w:rPr>
          <w:rFonts w:hint="eastAsia"/>
          <w:highlight w:val="none"/>
        </w:rPr>
        <w:t>施工管理与控制</w:t>
      </w:r>
      <w:bookmarkEnd w:id="66"/>
      <w:bookmarkEnd w:id="67"/>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highlight w:val="none"/>
          <w:lang w:val="fr-FR"/>
        </w:rPr>
        <w:t>（1）投标方根据需求向</w:t>
      </w:r>
      <w:r>
        <w:rPr>
          <w:rFonts w:hint="eastAsia"/>
          <w:highlight w:val="none"/>
          <w:lang w:val="en-US" w:eastAsia="zh-CN"/>
        </w:rPr>
        <w:t>建设单位</w:t>
      </w:r>
      <w:r>
        <w:rPr>
          <w:rFonts w:hint="eastAsia" w:ascii="Times New Roman" w:hAnsi="Times New Roman" w:eastAsia="宋体"/>
          <w:highlight w:val="none"/>
          <w:lang w:val="fr-FR"/>
        </w:rPr>
        <w:t>提报临时用电申请，办理临时用电手续。</w:t>
      </w:r>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投标方须编制临时用电方案报</w:t>
      </w:r>
      <w:r>
        <w:rPr>
          <w:rFonts w:hint="eastAsia"/>
          <w:highlight w:val="none"/>
          <w:lang w:val="en-US" w:eastAsia="zh-CN"/>
        </w:rPr>
        <w:t>建设单位</w:t>
      </w:r>
      <w:r>
        <w:rPr>
          <w:rFonts w:hint="eastAsia" w:ascii="Times New Roman" w:hAnsi="Times New Roman" w:eastAsia="宋体"/>
          <w:highlight w:val="none"/>
          <w:lang w:val="fr-FR"/>
        </w:rPr>
        <w:t>审核批准后执行。临时用电方案编制和管理需满足JGJ46-2012《施工现场临时用电安全技术规范》及GB50194-2014《建设</w:t>
      </w:r>
      <w:r>
        <w:rPr>
          <w:rFonts w:hint="eastAsia"/>
          <w:highlight w:val="none"/>
          <w:lang w:val="en-US" w:eastAsia="zh-CN"/>
        </w:rPr>
        <w:t>工程</w:t>
      </w:r>
      <w:r>
        <w:rPr>
          <w:rFonts w:hint="eastAsia" w:ascii="Times New Roman" w:hAnsi="Times New Roman" w:eastAsia="宋体"/>
          <w:highlight w:val="none"/>
          <w:lang w:val="fr-FR"/>
        </w:rPr>
        <w:t>施工现场供用电安全规范》的要求。</w:t>
      </w:r>
    </w:p>
    <w:p>
      <w:pPr>
        <w:ind w:firstLine="440"/>
        <w:rPr>
          <w:rFonts w:hint="eastAsia" w:ascii="Times New Roman" w:hAnsi="Times New Roman" w:eastAsia="宋体"/>
          <w:highlight w:val="none"/>
          <w:lang w:val="fr-FR"/>
        </w:rPr>
      </w:pPr>
      <w:r>
        <w:rPr>
          <w:rFonts w:hint="eastAsia" w:ascii="Times New Roman" w:hAnsi="Times New Roman" w:eastAsia="宋体"/>
          <w:highlight w:val="none"/>
          <w:lang w:val="fr-FR"/>
        </w:rPr>
        <w:t>投标方负责电源接驳点以下各自施工范围的所有临电线路材料采购、施工、运行、维护等工作，相关费用应包含在投标总价中。</w:t>
      </w:r>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highlight w:val="none"/>
          <w:lang w:val="fr-FR"/>
        </w:rPr>
        <w:t>（2）现场施工时，投标方按照国家法律法规和有关安全施工的要求进行施工；</w:t>
      </w:r>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highlight w:val="none"/>
          <w:lang w:val="fr-FR"/>
        </w:rPr>
        <w:t>（3）投标方必须按照雨季、台风施工规范及安全保障措施进行施工；</w:t>
      </w:r>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highlight w:val="none"/>
          <w:lang w:val="fr-FR"/>
        </w:rPr>
        <w:t>（4）工程实施过程中，投标方不得损毁场地周围的市政道路及管线等设施，若发生损毁，从而产生的后果由投标方负责；</w:t>
      </w:r>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highlight w:val="none"/>
          <w:lang w:val="fr-FR"/>
        </w:rPr>
        <w:t>（5）因投标方技术原因在施工过程造成的质量问题或缺陷，所增加的一切费用均由投标方负责；</w:t>
      </w:r>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highlight w:val="none"/>
          <w:lang w:val="fr-FR"/>
        </w:rPr>
        <w:t>（6）在施工过程中因投标方技术原因造成的工程量增加以及工期的变动，所增加的费用由投标方承担；</w:t>
      </w:r>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highlight w:val="none"/>
          <w:lang w:val="fr-FR"/>
        </w:rPr>
        <w:t>（7）投标方未能在规定时间内按要求向招标人提供材料样品，因而导致材料不能按时采购而影响工期，由投标方负责，工期不予顺延；</w:t>
      </w:r>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highlight w:val="none"/>
          <w:lang w:val="fr-FR"/>
        </w:rPr>
        <w:t>（8）投标方应制定详细的施工进度保证和控制措施，并应包含特殊情况下的赶工计划，极端天气条件下的应急预案等，其措施费应包含在报价中；</w:t>
      </w:r>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highlight w:val="none"/>
          <w:lang w:val="fr-FR"/>
        </w:rPr>
        <w:t>（9）施工过程质量验收执行施工质量验收规范。</w:t>
      </w:r>
    </w:p>
    <w:p>
      <w:pPr>
        <w:pStyle w:val="4"/>
        <w:bidi w:val="0"/>
        <w:ind w:left="0" w:leftChars="0" w:firstLine="0" w:firstLineChars="0"/>
        <w:rPr>
          <w:highlight w:val="none"/>
        </w:rPr>
      </w:pPr>
      <w:bookmarkStart w:id="68" w:name="_Toc22479"/>
      <w:bookmarkStart w:id="69" w:name="_Toc7357"/>
      <w:r>
        <w:rPr>
          <w:rFonts w:hint="eastAsia"/>
          <w:highlight w:val="none"/>
        </w:rPr>
        <w:t>进度管理与控制</w:t>
      </w:r>
      <w:bookmarkEnd w:id="68"/>
      <w:bookmarkEnd w:id="69"/>
    </w:p>
    <w:p>
      <w:pPr>
        <w:ind w:left="0" w:leftChars="0" w:firstLine="420" w:firstLineChars="200"/>
        <w:rPr>
          <w:rFonts w:hint="eastAsia" w:ascii="Times New Roman" w:hAnsi="Times New Roman" w:eastAsia="宋体"/>
          <w:highlight w:val="none"/>
          <w:lang w:val="fr-FR"/>
        </w:rPr>
      </w:pPr>
      <w:r>
        <w:rPr>
          <w:rFonts w:hint="eastAsia" w:ascii="Times New Roman" w:hAnsi="Times New Roman" w:eastAsia="宋体"/>
          <w:highlight w:val="none"/>
          <w:lang w:val="fr-FR"/>
        </w:rPr>
        <w:t>投标方应该制定一个详细项目开发计划和测试计划，每个子系统的建设时间起点和终点及相应的安装调试的起点和终点均应在计划中设定；如时间起、始点有变化应通知招标方。</w:t>
      </w:r>
    </w:p>
    <w:p>
      <w:pPr>
        <w:ind w:left="0" w:leftChars="0" w:firstLine="420" w:firstLineChars="200"/>
        <w:rPr>
          <w:rFonts w:hint="eastAsia" w:ascii="Times New Roman" w:hAnsi="Times New Roman" w:eastAsia="宋体"/>
          <w:highlight w:val="none"/>
          <w:lang w:val="fr-FR"/>
        </w:rPr>
      </w:pPr>
      <w:r>
        <w:rPr>
          <w:rFonts w:hint="eastAsia" w:ascii="Times New Roman" w:hAnsi="Times New Roman" w:eastAsia="宋体"/>
          <w:highlight w:val="none"/>
          <w:lang w:val="fr-FR"/>
        </w:rPr>
        <w:t>投标方应当定期举行项目管理例会，并应定期将项目进展、项目计划、项目问题及其他重大事项向招标方进行通报和讨论。</w:t>
      </w:r>
    </w:p>
    <w:p>
      <w:pPr>
        <w:pStyle w:val="4"/>
        <w:bidi w:val="0"/>
        <w:ind w:left="0" w:leftChars="0" w:firstLine="0" w:firstLineChars="0"/>
        <w:rPr>
          <w:highlight w:val="none"/>
        </w:rPr>
      </w:pPr>
      <w:bookmarkStart w:id="70" w:name="_Toc30865"/>
      <w:bookmarkStart w:id="71" w:name="_Toc32545"/>
      <w:r>
        <w:rPr>
          <w:rFonts w:hint="eastAsia"/>
          <w:highlight w:val="none"/>
        </w:rPr>
        <w:t>文档管理与控制</w:t>
      </w:r>
      <w:bookmarkEnd w:id="70"/>
      <w:bookmarkEnd w:id="71"/>
    </w:p>
    <w:p>
      <w:pPr>
        <w:ind w:left="0" w:leftChars="0" w:firstLine="420" w:firstLineChars="200"/>
        <w:rPr>
          <w:rFonts w:hint="eastAsia" w:ascii="Times New Roman" w:hAnsi="Times New Roman" w:eastAsia="宋体"/>
          <w:highlight w:val="none"/>
          <w:lang w:val="fr-FR"/>
        </w:rPr>
      </w:pPr>
      <w:r>
        <w:rPr>
          <w:rFonts w:hint="eastAsia" w:ascii="Times New Roman" w:hAnsi="Times New Roman" w:eastAsia="宋体"/>
          <w:highlight w:val="none"/>
          <w:lang w:val="fr-FR"/>
        </w:rPr>
        <w:t>需要投标方从以下方面（包含但不仅限于）建立完善的文档管理体系（根据项目现场要求及项目管理系统使用要求等），在规定时间内向招标人提交深化设计图纸、施工方案、施工计划、HSE要求文件、质量要求文件等项目建设需要的体系文件等。并提供智慧工地各系统的详细使用说明书及培训指导文件，以帮助项目管理人员尽快掌握现场各系统的操作及简单检查维修。</w:t>
      </w:r>
    </w:p>
    <w:p>
      <w:pPr>
        <w:pStyle w:val="4"/>
        <w:bidi w:val="0"/>
        <w:ind w:left="0" w:leftChars="0" w:firstLine="0" w:firstLineChars="0"/>
        <w:rPr>
          <w:highlight w:val="none"/>
        </w:rPr>
      </w:pPr>
      <w:bookmarkStart w:id="72" w:name="_Toc31466"/>
      <w:bookmarkStart w:id="73" w:name="_Toc3994"/>
      <w:r>
        <w:rPr>
          <w:rFonts w:hint="eastAsia"/>
          <w:highlight w:val="none"/>
        </w:rPr>
        <w:t>变更管理与控制</w:t>
      </w:r>
      <w:bookmarkEnd w:id="72"/>
      <w:bookmarkEnd w:id="73"/>
    </w:p>
    <w:p>
      <w:pPr>
        <w:ind w:left="0" w:leftChars="0" w:firstLine="420" w:firstLineChars="200"/>
        <w:rPr>
          <w:rFonts w:hint="eastAsia" w:ascii="Times New Roman" w:hAnsi="Times New Roman" w:eastAsia="宋体"/>
          <w:highlight w:val="none"/>
          <w:lang w:val="fr-FR"/>
        </w:rPr>
      </w:pPr>
      <w:r>
        <w:rPr>
          <w:rFonts w:hint="eastAsia" w:ascii="Times New Roman" w:hAnsi="Times New Roman" w:eastAsia="宋体"/>
          <w:highlight w:val="none"/>
          <w:lang w:val="fr-FR"/>
        </w:rPr>
        <w:t>需要投标方详细阐述变更的管理与控制方案。</w:t>
      </w:r>
    </w:p>
    <w:p>
      <w:pPr>
        <w:ind w:left="0" w:leftChars="0" w:firstLine="420" w:firstLineChars="200"/>
        <w:rPr>
          <w:rFonts w:hint="eastAsia" w:ascii="Times New Roman" w:hAnsi="Times New Roman" w:eastAsia="宋体"/>
          <w:highlight w:val="none"/>
          <w:lang w:val="fr-FR"/>
        </w:rPr>
      </w:pPr>
      <w:r>
        <w:rPr>
          <w:rFonts w:hint="eastAsia" w:ascii="Times New Roman" w:hAnsi="Times New Roman" w:eastAsia="宋体"/>
          <w:highlight w:val="none"/>
          <w:lang w:val="fr-FR"/>
        </w:rPr>
        <w:t>投标方应对本实施项目总体协调，承担智慧工地平台实施过程中的项目管理责任，包括针对项目方案设计、项目进度、实施风险、资源投入以及最终交付品的总体管理。投标方应在事前提出明确的项目质量管理标准和流程，提供确保其内部质量程序遵循项目管理的方法概要，提供招标方所要求的质量保证的活动。在项目启动后由双方人员共同商议，并由招标方最终认可。</w:t>
      </w:r>
    </w:p>
    <w:p>
      <w:pPr>
        <w:ind w:left="0" w:leftChars="0" w:firstLine="420" w:firstLineChars="200"/>
        <w:rPr>
          <w:rFonts w:hint="eastAsia" w:ascii="Times New Roman" w:hAnsi="Times New Roman" w:eastAsia="宋体"/>
          <w:highlight w:val="none"/>
          <w:lang w:val="fr-FR"/>
        </w:rPr>
      </w:pPr>
      <w:r>
        <w:rPr>
          <w:rFonts w:hint="eastAsia" w:ascii="Times New Roman" w:hAnsi="Times New Roman" w:eastAsia="宋体"/>
          <w:highlight w:val="none"/>
          <w:lang w:val="fr-FR"/>
        </w:rPr>
        <w:t>投标方应用科学、高效、可行的项目管理方法和工具来进行项目管理，须针对本项目成立专门的项目组，该项目组能够依据项目管理体系制定并严格执行项目实施过程中的咨询方案、进度计划和其他管理方案，保证按计划、在预算内、保质保量完成招标方委托的项目工作。</w:t>
      </w:r>
    </w:p>
    <w:p>
      <w:pPr>
        <w:ind w:left="0" w:leftChars="0" w:firstLine="420" w:firstLineChars="200"/>
        <w:rPr>
          <w:rFonts w:hint="eastAsia" w:ascii="Times New Roman" w:hAnsi="Times New Roman" w:eastAsia="宋体"/>
          <w:highlight w:val="none"/>
          <w:lang w:val="fr-FR"/>
        </w:rPr>
      </w:pPr>
      <w:r>
        <w:rPr>
          <w:rFonts w:hint="eastAsia" w:ascii="Times New Roman" w:hAnsi="Times New Roman" w:eastAsia="宋体"/>
          <w:highlight w:val="none"/>
          <w:lang w:val="fr-FR"/>
        </w:rPr>
        <w:t>投标方在各阶段应提交完整的项目管理文档。</w:t>
      </w:r>
    </w:p>
    <w:p>
      <w:pPr>
        <w:pStyle w:val="3"/>
        <w:bidi w:val="0"/>
        <w:ind w:left="0" w:leftChars="0" w:firstLine="0" w:firstLineChars="0"/>
        <w:rPr>
          <w:highlight w:val="none"/>
        </w:rPr>
      </w:pPr>
      <w:bookmarkStart w:id="74" w:name="_Toc341790522"/>
      <w:bookmarkStart w:id="75" w:name="_Toc341946515"/>
      <w:bookmarkStart w:id="76" w:name="_Toc341790870"/>
      <w:bookmarkStart w:id="77" w:name="_Toc341200694"/>
      <w:bookmarkStart w:id="78" w:name="_Toc5326"/>
      <w:bookmarkStart w:id="79" w:name="_Toc31273"/>
      <w:bookmarkStart w:id="80" w:name="_Toc395886693"/>
      <w:r>
        <w:rPr>
          <w:rFonts w:hint="eastAsia"/>
          <w:highlight w:val="none"/>
        </w:rPr>
        <w:t>文档资料要求</w:t>
      </w:r>
      <w:bookmarkEnd w:id="74"/>
      <w:bookmarkEnd w:id="75"/>
      <w:bookmarkEnd w:id="76"/>
      <w:bookmarkEnd w:id="77"/>
      <w:bookmarkEnd w:id="78"/>
      <w:bookmarkEnd w:id="79"/>
      <w:bookmarkEnd w:id="80"/>
    </w:p>
    <w:p>
      <w:pPr>
        <w:ind w:left="0" w:leftChars="0" w:firstLine="420" w:firstLineChars="200"/>
        <w:rPr>
          <w:rFonts w:hint="eastAsia" w:ascii="Times New Roman" w:hAnsi="Times New Roman" w:eastAsia="宋体"/>
          <w:highlight w:val="none"/>
          <w:lang w:val="fr-FR"/>
        </w:rPr>
      </w:pPr>
      <w:r>
        <w:rPr>
          <w:rFonts w:hint="eastAsia" w:ascii="Times New Roman" w:hAnsi="Times New Roman" w:eastAsia="宋体"/>
          <w:highlight w:val="none"/>
          <w:lang w:val="fr-FR"/>
        </w:rPr>
        <w:t>项目实施过程中的文档资料（包含但不限于）有如下要求：</w:t>
      </w:r>
    </w:p>
    <w:p>
      <w:pPr>
        <w:pStyle w:val="2"/>
        <w:bidi w:val="0"/>
        <w:ind w:left="0" w:leftChars="0" w:firstLine="0" w:firstLineChars="0"/>
        <w:rPr>
          <w:highlight w:val="none"/>
        </w:rPr>
      </w:pPr>
      <w:bookmarkStart w:id="81" w:name="_Toc341200695"/>
      <w:bookmarkStart w:id="82" w:name="_Toc341790523"/>
      <w:bookmarkStart w:id="83" w:name="_Toc237622461"/>
      <w:bookmarkStart w:id="84" w:name="_Toc341790871"/>
      <w:bookmarkStart w:id="85" w:name="_Toc395886694"/>
      <w:bookmarkStart w:id="86" w:name="_Toc32006"/>
      <w:bookmarkStart w:id="87" w:name="_Toc3390"/>
      <w:bookmarkStart w:id="88" w:name="_Toc341946516"/>
      <w:r>
        <w:rPr>
          <w:rFonts w:hint="eastAsia"/>
          <w:highlight w:val="none"/>
        </w:rPr>
        <w:t>文档资料的整体要求</w:t>
      </w:r>
      <w:bookmarkEnd w:id="81"/>
      <w:bookmarkEnd w:id="82"/>
      <w:bookmarkEnd w:id="83"/>
      <w:bookmarkEnd w:id="84"/>
      <w:bookmarkEnd w:id="85"/>
      <w:bookmarkEnd w:id="86"/>
      <w:bookmarkEnd w:id="87"/>
      <w:bookmarkEnd w:id="88"/>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b/>
          <w:bCs/>
          <w:highlight w:val="none"/>
          <w:lang w:val="en-US" w:eastAsia="zh-CN"/>
        </w:rPr>
        <w:t>4.1.1</w:t>
      </w:r>
      <w:r>
        <w:rPr>
          <w:rFonts w:hint="eastAsia" w:ascii="Times New Roman" w:hAnsi="Times New Roman" w:eastAsia="宋体"/>
          <w:highlight w:val="none"/>
          <w:lang w:val="fr-FR"/>
        </w:rPr>
        <w:t>技术文档应与系统相一致，技术文档应该全面、完整、详细；</w:t>
      </w:r>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b/>
          <w:bCs/>
          <w:highlight w:val="none"/>
          <w:lang w:val="en-US" w:eastAsia="zh-CN"/>
        </w:rPr>
        <w:t>4.1.2</w:t>
      </w:r>
      <w:r>
        <w:rPr>
          <w:rFonts w:hint="eastAsia" w:ascii="Times New Roman" w:hAnsi="Times New Roman" w:eastAsia="宋体"/>
          <w:highlight w:val="none"/>
          <w:lang w:val="fr-FR"/>
        </w:rPr>
        <w:t>技术文件应能够满足招标人对系统的安装、使用、运行维护、应用开发的需要；</w:t>
      </w:r>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b/>
          <w:bCs/>
          <w:highlight w:val="none"/>
          <w:lang w:val="en-US" w:eastAsia="zh-CN"/>
        </w:rPr>
        <w:t>4.1.3</w:t>
      </w:r>
      <w:r>
        <w:rPr>
          <w:rFonts w:hint="eastAsia" w:ascii="Times New Roman" w:hAnsi="Times New Roman" w:eastAsia="宋体"/>
          <w:highlight w:val="none"/>
          <w:lang w:val="fr-FR"/>
        </w:rPr>
        <w:t>提供整个系统建设的技术管理文档，系统运行、维护管理体系对应的全部管理规范和管理规定的文档；</w:t>
      </w:r>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b/>
          <w:bCs/>
          <w:highlight w:val="none"/>
          <w:lang w:val="en-US" w:eastAsia="zh-CN"/>
        </w:rPr>
        <w:t>4.1.4</w:t>
      </w:r>
      <w:r>
        <w:rPr>
          <w:rFonts w:hint="eastAsia" w:ascii="Times New Roman" w:hAnsi="Times New Roman" w:eastAsia="宋体"/>
          <w:highlight w:val="none"/>
          <w:lang w:val="fr-FR"/>
        </w:rPr>
        <w:t>技术文档应符合招标文件所述的功能和技术要求，提供在指定平台上可靠运行的并经测试合格的全套软件；</w:t>
      </w:r>
    </w:p>
    <w:p>
      <w:pPr>
        <w:ind w:left="0" w:leftChars="0" w:firstLine="0" w:firstLineChars="0"/>
        <w:rPr>
          <w:rFonts w:hint="eastAsia" w:ascii="Times New Roman" w:hAnsi="Times New Roman" w:eastAsia="宋体"/>
          <w:highlight w:val="none"/>
          <w:lang w:val="fr-FR"/>
        </w:rPr>
      </w:pPr>
      <w:r>
        <w:rPr>
          <w:rFonts w:hint="eastAsia" w:ascii="Times New Roman" w:hAnsi="Times New Roman" w:eastAsia="宋体"/>
          <w:b/>
          <w:bCs/>
          <w:highlight w:val="none"/>
          <w:lang w:val="en-US" w:eastAsia="zh-CN"/>
        </w:rPr>
        <w:t>4.1.5</w:t>
      </w:r>
      <w:r>
        <w:rPr>
          <w:rFonts w:hint="eastAsia" w:ascii="Times New Roman" w:hAnsi="Times New Roman" w:eastAsia="宋体"/>
          <w:highlight w:val="none"/>
          <w:lang w:val="fr-FR"/>
        </w:rPr>
        <w:t>提供的文档和资料均应以纸张和磁介质（或光盘、）为载体，文件格式为Word文档或PDF文档或其他可视化文件。</w:t>
      </w:r>
    </w:p>
    <w:p>
      <w:pPr>
        <w:pStyle w:val="2"/>
        <w:bidi w:val="0"/>
        <w:ind w:left="0" w:leftChars="0" w:firstLine="0" w:firstLineChars="0"/>
        <w:rPr>
          <w:highlight w:val="none"/>
        </w:rPr>
      </w:pPr>
      <w:bookmarkStart w:id="89" w:name="_Toc237622462"/>
      <w:bookmarkStart w:id="90" w:name="_Toc341946517"/>
      <w:bookmarkStart w:id="91" w:name="_Toc10151"/>
      <w:bookmarkStart w:id="92" w:name="_Toc6305"/>
      <w:bookmarkStart w:id="93" w:name="_Toc395886695"/>
      <w:bookmarkStart w:id="94" w:name="_Toc341790524"/>
      <w:bookmarkStart w:id="95" w:name="_Toc341790872"/>
      <w:bookmarkStart w:id="96" w:name="_Toc341200696"/>
      <w:r>
        <w:rPr>
          <w:rFonts w:hint="eastAsia"/>
          <w:highlight w:val="none"/>
        </w:rPr>
        <w:t>项目交付物要求</w:t>
      </w:r>
      <w:bookmarkEnd w:id="89"/>
      <w:bookmarkEnd w:id="90"/>
      <w:bookmarkEnd w:id="91"/>
      <w:bookmarkEnd w:id="92"/>
      <w:bookmarkEnd w:id="93"/>
      <w:bookmarkEnd w:id="94"/>
      <w:bookmarkEnd w:id="95"/>
      <w:bookmarkEnd w:id="96"/>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highlight w:val="none"/>
          <w:lang w:val="fr-FR"/>
        </w:rPr>
      </w:pPr>
      <w:r>
        <w:rPr>
          <w:rFonts w:hint="eastAsia"/>
          <w:b/>
          <w:bCs/>
          <w:highlight w:val="none"/>
          <w:lang w:val="en-US" w:eastAsia="zh-CN"/>
        </w:rPr>
        <w:t>4.2.1</w:t>
      </w:r>
      <w:r>
        <w:rPr>
          <w:rFonts w:hint="eastAsia" w:ascii="Times New Roman" w:hAnsi="Times New Roman" w:eastAsia="宋体"/>
          <w:highlight w:val="none"/>
          <w:lang w:val="fr-FR"/>
        </w:rPr>
        <w:t>项目文档交付须满足项目管理和软件管理的相关规定，至少须包括：</w:t>
      </w:r>
    </w:p>
    <w:p>
      <w:pPr>
        <w:ind w:left="0" w:leftChars="0" w:firstLine="0" w:firstLineChars="0"/>
        <w:rPr>
          <w:rFonts w:hint="eastAsia" w:ascii="Times New Roman" w:hAnsi="Times New Roman" w:eastAsia="宋体"/>
          <w:highlight w:val="none"/>
          <w:lang w:val="fr-FR"/>
        </w:rPr>
      </w:pPr>
      <w:r>
        <w:rPr>
          <w:rFonts w:hint="eastAsia"/>
          <w:highlight w:val="none"/>
          <w:lang w:val="en-US" w:eastAsia="zh-CN"/>
        </w:rPr>
        <w:t>（1）</w:t>
      </w:r>
      <w:r>
        <w:rPr>
          <w:rFonts w:hint="eastAsia" w:ascii="Times New Roman" w:hAnsi="Times New Roman" w:eastAsia="宋体"/>
          <w:highlight w:val="none"/>
          <w:lang w:val="fr-FR"/>
        </w:rPr>
        <w:t>项目计划；</w:t>
      </w:r>
    </w:p>
    <w:p>
      <w:pPr>
        <w:ind w:left="0" w:leftChars="0" w:firstLine="0" w:firstLineChars="0"/>
        <w:rPr>
          <w:rFonts w:hint="eastAsia" w:ascii="Times New Roman" w:hAnsi="Times New Roman" w:eastAsia="宋体"/>
          <w:highlight w:val="none"/>
          <w:lang w:val="fr-FR"/>
        </w:rPr>
      </w:pPr>
      <w:r>
        <w:rPr>
          <w:rFonts w:hint="eastAsia"/>
          <w:highlight w:val="none"/>
          <w:lang w:val="en-US" w:eastAsia="zh-CN"/>
        </w:rPr>
        <w:t>（2）</w:t>
      </w:r>
      <w:r>
        <w:rPr>
          <w:rFonts w:hint="eastAsia" w:ascii="Times New Roman" w:hAnsi="Times New Roman" w:eastAsia="宋体"/>
          <w:highlight w:val="none"/>
          <w:lang w:val="fr-FR"/>
        </w:rPr>
        <w:t>组织架构；</w:t>
      </w:r>
    </w:p>
    <w:p>
      <w:pPr>
        <w:ind w:left="0" w:leftChars="0" w:firstLine="0" w:firstLineChars="0"/>
        <w:rPr>
          <w:rFonts w:hint="eastAsia" w:ascii="Times New Roman" w:hAnsi="Times New Roman" w:eastAsia="宋体"/>
          <w:highlight w:val="none"/>
          <w:lang w:val="fr-FR"/>
        </w:rPr>
      </w:pPr>
      <w:r>
        <w:rPr>
          <w:rFonts w:hint="eastAsia"/>
          <w:highlight w:val="none"/>
          <w:lang w:val="en-US" w:eastAsia="zh-CN"/>
        </w:rPr>
        <w:t>（3）</w:t>
      </w:r>
      <w:r>
        <w:rPr>
          <w:rFonts w:hint="eastAsia" w:ascii="Times New Roman" w:hAnsi="Times New Roman" w:eastAsia="宋体"/>
          <w:highlight w:val="none"/>
          <w:lang w:val="fr-FR"/>
        </w:rPr>
        <w:t>各子系统平面布置图；</w:t>
      </w:r>
    </w:p>
    <w:p>
      <w:pPr>
        <w:ind w:left="0" w:leftChars="0" w:firstLine="0" w:firstLineChars="0"/>
        <w:rPr>
          <w:rFonts w:hint="eastAsia" w:ascii="Times New Roman" w:hAnsi="Times New Roman" w:eastAsia="宋体"/>
          <w:highlight w:val="none"/>
          <w:lang w:val="fr-FR"/>
        </w:rPr>
      </w:pPr>
      <w:r>
        <w:rPr>
          <w:rFonts w:hint="eastAsia"/>
          <w:highlight w:val="none"/>
          <w:lang w:val="en-US" w:eastAsia="zh-CN"/>
        </w:rPr>
        <w:t>（4）</w:t>
      </w:r>
      <w:r>
        <w:rPr>
          <w:rFonts w:hint="eastAsia" w:ascii="Times New Roman" w:hAnsi="Times New Roman" w:eastAsia="宋体"/>
          <w:highlight w:val="none"/>
          <w:lang w:val="fr-FR"/>
        </w:rPr>
        <w:t>各子系统系统图；</w:t>
      </w:r>
    </w:p>
    <w:p>
      <w:pPr>
        <w:ind w:left="0" w:leftChars="0" w:firstLine="0" w:firstLineChars="0"/>
        <w:rPr>
          <w:rFonts w:hint="eastAsia" w:ascii="Times New Roman" w:hAnsi="Times New Roman" w:eastAsia="宋体"/>
          <w:highlight w:val="none"/>
          <w:lang w:val="fr-FR"/>
        </w:rPr>
      </w:pPr>
      <w:r>
        <w:rPr>
          <w:rFonts w:hint="eastAsia"/>
          <w:highlight w:val="none"/>
          <w:lang w:val="en-US" w:eastAsia="zh-CN"/>
        </w:rPr>
        <w:t>（5）</w:t>
      </w:r>
      <w:r>
        <w:rPr>
          <w:rFonts w:hint="eastAsia" w:ascii="Times New Roman" w:hAnsi="Times New Roman" w:eastAsia="宋体"/>
          <w:highlight w:val="none"/>
          <w:lang w:val="fr-FR"/>
        </w:rPr>
        <w:t>项目实施方案；</w:t>
      </w:r>
    </w:p>
    <w:p>
      <w:pPr>
        <w:ind w:left="0" w:leftChars="0" w:firstLine="0" w:firstLineChars="0"/>
        <w:rPr>
          <w:rFonts w:hint="eastAsia" w:ascii="Times New Roman" w:hAnsi="Times New Roman" w:eastAsia="宋体"/>
          <w:highlight w:val="none"/>
          <w:lang w:val="fr-FR"/>
        </w:rPr>
      </w:pPr>
      <w:r>
        <w:rPr>
          <w:rFonts w:hint="eastAsia"/>
          <w:highlight w:val="none"/>
          <w:lang w:val="en-US" w:eastAsia="zh-CN"/>
        </w:rPr>
        <w:t>（6）</w:t>
      </w:r>
      <w:r>
        <w:rPr>
          <w:rFonts w:hint="eastAsia" w:ascii="Times New Roman" w:hAnsi="Times New Roman" w:eastAsia="宋体"/>
          <w:highlight w:val="none"/>
          <w:lang w:val="fr-FR"/>
        </w:rPr>
        <w:t>测试报告；</w:t>
      </w:r>
    </w:p>
    <w:p>
      <w:pPr>
        <w:ind w:left="0" w:leftChars="0" w:firstLine="0" w:firstLineChars="0"/>
        <w:rPr>
          <w:rFonts w:hint="eastAsia" w:ascii="Times New Roman" w:hAnsi="Times New Roman" w:eastAsia="宋体"/>
          <w:highlight w:val="none"/>
          <w:lang w:val="fr-FR"/>
        </w:rPr>
      </w:pPr>
      <w:r>
        <w:rPr>
          <w:rFonts w:hint="eastAsia"/>
          <w:highlight w:val="none"/>
          <w:lang w:val="en-US" w:eastAsia="zh-CN"/>
        </w:rPr>
        <w:t>（7）</w:t>
      </w:r>
      <w:r>
        <w:rPr>
          <w:rFonts w:hint="eastAsia" w:ascii="Times New Roman" w:hAnsi="Times New Roman" w:eastAsia="宋体"/>
          <w:highlight w:val="none"/>
          <w:lang w:val="fr-FR"/>
        </w:rPr>
        <w:t>用户使用手册；</w:t>
      </w:r>
    </w:p>
    <w:p>
      <w:pPr>
        <w:ind w:left="0" w:leftChars="0" w:firstLine="0" w:firstLineChars="0"/>
        <w:rPr>
          <w:rFonts w:hint="eastAsia" w:ascii="Times New Roman" w:hAnsi="Times New Roman" w:eastAsia="宋体"/>
          <w:highlight w:val="none"/>
          <w:lang w:val="fr-FR"/>
        </w:rPr>
      </w:pPr>
      <w:r>
        <w:rPr>
          <w:rFonts w:hint="eastAsia"/>
          <w:highlight w:val="none"/>
          <w:lang w:val="en-US" w:eastAsia="zh-CN"/>
        </w:rPr>
        <w:t>（8）</w:t>
      </w:r>
      <w:r>
        <w:rPr>
          <w:rFonts w:hint="eastAsia" w:ascii="Times New Roman" w:hAnsi="Times New Roman" w:eastAsia="宋体"/>
          <w:highlight w:val="none"/>
          <w:lang w:val="fr-FR"/>
        </w:rPr>
        <w:t>系统上线报告；</w:t>
      </w:r>
    </w:p>
    <w:p>
      <w:pPr>
        <w:ind w:left="0" w:leftChars="0" w:firstLine="0" w:firstLineChars="0"/>
        <w:rPr>
          <w:rFonts w:hint="eastAsia" w:ascii="Times New Roman" w:hAnsi="Times New Roman" w:eastAsia="宋体"/>
          <w:highlight w:val="none"/>
          <w:lang w:val="fr-FR"/>
        </w:rPr>
      </w:pPr>
      <w:r>
        <w:rPr>
          <w:rFonts w:hint="eastAsia"/>
          <w:highlight w:val="none"/>
          <w:lang w:val="en-US" w:eastAsia="zh-CN"/>
        </w:rPr>
        <w:t>（9）</w:t>
      </w:r>
      <w:r>
        <w:rPr>
          <w:rFonts w:hint="eastAsia" w:ascii="Times New Roman" w:hAnsi="Times New Roman" w:eastAsia="宋体"/>
          <w:highlight w:val="none"/>
          <w:lang w:val="fr-FR"/>
        </w:rPr>
        <w:t>技术和业务运维操作手册；</w:t>
      </w:r>
    </w:p>
    <w:p>
      <w:pPr>
        <w:ind w:left="0" w:leftChars="0" w:firstLine="0" w:firstLineChars="0"/>
        <w:rPr>
          <w:rFonts w:hint="eastAsia" w:ascii="Times New Roman" w:hAnsi="Times New Roman" w:eastAsia="宋体"/>
          <w:highlight w:val="none"/>
          <w:lang w:val="fr-FR"/>
        </w:rPr>
      </w:pPr>
      <w:r>
        <w:rPr>
          <w:rFonts w:hint="eastAsia"/>
          <w:highlight w:val="none"/>
          <w:lang w:val="en-US" w:eastAsia="zh-CN"/>
        </w:rPr>
        <w:t>（10）</w:t>
      </w:r>
      <w:r>
        <w:rPr>
          <w:rFonts w:hint="eastAsia" w:ascii="Times New Roman" w:hAnsi="Times New Roman" w:eastAsia="宋体"/>
          <w:highlight w:val="none"/>
          <w:lang w:val="fr-FR"/>
        </w:rPr>
        <w:t>培训教材和讲义；</w:t>
      </w:r>
    </w:p>
    <w:p>
      <w:pPr>
        <w:ind w:left="0" w:leftChars="0" w:firstLine="0" w:firstLineChars="0"/>
        <w:rPr>
          <w:rFonts w:hint="eastAsia" w:ascii="Times New Roman" w:hAnsi="Times New Roman" w:eastAsia="宋体"/>
          <w:highlight w:val="none"/>
          <w:lang w:val="fr-FR"/>
        </w:rPr>
      </w:pPr>
      <w:r>
        <w:rPr>
          <w:rFonts w:hint="eastAsia"/>
          <w:highlight w:val="none"/>
          <w:lang w:val="en-US" w:eastAsia="zh-CN"/>
        </w:rPr>
        <w:t>（11）</w:t>
      </w:r>
      <w:r>
        <w:rPr>
          <w:rFonts w:hint="eastAsia" w:ascii="Times New Roman" w:hAnsi="Times New Roman" w:eastAsia="宋体"/>
          <w:highlight w:val="none"/>
          <w:lang w:val="fr-FR"/>
        </w:rPr>
        <w:t>其他满足用户需求所需交付的成果与文档。</w:t>
      </w:r>
    </w:p>
    <w:p>
      <w:pPr>
        <w:pStyle w:val="3"/>
        <w:bidi w:val="0"/>
        <w:ind w:left="0" w:leftChars="0" w:firstLine="0" w:firstLineChars="0"/>
        <w:rPr>
          <w:highlight w:val="none"/>
        </w:rPr>
      </w:pPr>
      <w:bookmarkStart w:id="97" w:name="_Toc341200711"/>
      <w:bookmarkStart w:id="98" w:name="_Toc341946532"/>
      <w:bookmarkStart w:id="99" w:name="_Toc14752"/>
      <w:bookmarkStart w:id="100" w:name="_Toc341790539"/>
      <w:bookmarkStart w:id="101" w:name="_Toc341790887"/>
      <w:bookmarkStart w:id="102" w:name="_Toc10043"/>
      <w:bookmarkStart w:id="103" w:name="_Toc395886710"/>
      <w:r>
        <w:rPr>
          <w:rFonts w:hint="eastAsia"/>
          <w:highlight w:val="none"/>
        </w:rPr>
        <w:t>业务需求</w:t>
      </w:r>
      <w:bookmarkEnd w:id="97"/>
      <w:bookmarkEnd w:id="98"/>
      <w:bookmarkEnd w:id="99"/>
      <w:bookmarkEnd w:id="100"/>
      <w:bookmarkEnd w:id="101"/>
      <w:bookmarkEnd w:id="102"/>
      <w:bookmarkEnd w:id="103"/>
    </w:p>
    <w:p>
      <w:pPr>
        <w:pStyle w:val="3"/>
        <w:numPr>
          <w:ilvl w:val="0"/>
          <w:numId w:val="0"/>
        </w:numPr>
        <w:spacing w:before="156" w:after="156"/>
        <w:rPr>
          <w:rFonts w:hint="eastAsia" w:eastAsia="宋体"/>
          <w:highlight w:val="none"/>
          <w:lang w:eastAsia="zh-CN"/>
        </w:rPr>
      </w:pPr>
      <w:bookmarkStart w:id="104" w:name="_Toc2953"/>
      <w:r>
        <w:rPr>
          <w:rFonts w:hint="eastAsia"/>
          <w:highlight w:val="none"/>
          <w:lang w:val="en-US"/>
        </w:rPr>
        <w:t>5</w:t>
      </w:r>
      <w:r>
        <w:rPr>
          <w:rFonts w:hint="eastAsia"/>
          <w:highlight w:val="none"/>
        </w:rPr>
        <w:t>业务需求</w:t>
      </w:r>
      <w:r>
        <w:rPr>
          <w:rFonts w:hint="eastAsia"/>
          <w:highlight w:val="none"/>
          <w:lang w:eastAsia="zh-CN"/>
        </w:rPr>
        <w:t>（</w:t>
      </w:r>
      <w:r>
        <w:rPr>
          <w:rFonts w:hint="eastAsia"/>
          <w:highlight w:val="none"/>
          <w:lang w:val="en-US" w:eastAsia="zh-CN"/>
        </w:rPr>
        <w:t>以工程量清单内容为准</w:t>
      </w:r>
      <w:r>
        <w:rPr>
          <w:rFonts w:hint="eastAsia"/>
          <w:highlight w:val="none"/>
          <w:lang w:eastAsia="zh-CN"/>
        </w:rPr>
        <w:t>）</w:t>
      </w:r>
      <w:bookmarkEnd w:id="104"/>
    </w:p>
    <w:p>
      <w:pPr>
        <w:rPr>
          <w:highlight w:val="none"/>
          <w:lang w:val="fr-FR"/>
        </w:rPr>
      </w:pPr>
      <w:r>
        <w:rPr>
          <w:rFonts w:hint="eastAsia"/>
          <w:highlight w:val="none"/>
          <w:lang w:val="fr-FR"/>
        </w:rPr>
        <w:t>投标方提出的方案必须满足招标方的基础业务需求。具体的业务需求（包含但不仅限于）见如下章节所述。</w:t>
      </w:r>
    </w:p>
    <w:p>
      <w:pPr>
        <w:rPr>
          <w:highlight w:val="none"/>
          <w:lang w:val="fr-FR"/>
        </w:rPr>
      </w:pPr>
      <w:r>
        <w:rPr>
          <w:rFonts w:hint="eastAsia"/>
          <w:highlight w:val="none"/>
          <w:lang w:val="fr-FR"/>
        </w:rPr>
        <w:t>为满足项目整体稳定运行，并保证设备的先进性，投标方需支持三年内软件免费升级服务，投标人应提供标准系统接口和协议、所有系统的</w:t>
      </w:r>
      <w:r>
        <w:rPr>
          <w:highlight w:val="none"/>
          <w:lang w:val="fr-FR"/>
        </w:rPr>
        <w:t>SDK、数据库等标准接口，配合</w:t>
      </w:r>
      <w:r>
        <w:rPr>
          <w:rFonts w:hint="eastAsia"/>
          <w:highlight w:val="none"/>
          <w:lang w:val="fr-FR"/>
        </w:rPr>
        <w:t>智慧工地平台</w:t>
      </w:r>
      <w:r>
        <w:rPr>
          <w:highlight w:val="none"/>
          <w:lang w:val="fr-FR"/>
        </w:rPr>
        <w:t>进行应用开发调试，实现本系统与</w:t>
      </w:r>
      <w:r>
        <w:rPr>
          <w:rFonts w:hint="eastAsia"/>
          <w:highlight w:val="none"/>
          <w:lang w:val="fr-FR" w:eastAsia="zh-CN"/>
        </w:rPr>
        <w:t>聚碳</w:t>
      </w:r>
      <w:r>
        <w:rPr>
          <w:rFonts w:hint="eastAsia"/>
          <w:highlight w:val="none"/>
          <w:lang w:val="fr-FR"/>
        </w:rPr>
        <w:t>P</w:t>
      </w:r>
      <w:r>
        <w:rPr>
          <w:highlight w:val="none"/>
          <w:lang w:val="fr-FR"/>
        </w:rPr>
        <w:t>IP</w:t>
      </w:r>
      <w:r>
        <w:rPr>
          <w:rFonts w:hint="eastAsia"/>
          <w:highlight w:val="none"/>
          <w:lang w:val="fr-FR"/>
        </w:rPr>
        <w:t>平台的集成</w:t>
      </w:r>
      <w:r>
        <w:rPr>
          <w:highlight w:val="none"/>
          <w:lang w:val="fr-FR"/>
        </w:rPr>
        <w:t>。</w:t>
      </w:r>
    </w:p>
    <w:p>
      <w:pPr>
        <w:pStyle w:val="2"/>
        <w:numPr>
          <w:ilvl w:val="1"/>
          <w:numId w:val="0"/>
        </w:numPr>
        <w:rPr>
          <w:highlight w:val="none"/>
        </w:rPr>
      </w:pPr>
      <w:bookmarkStart w:id="105" w:name="_Toc15361"/>
      <w:r>
        <w:rPr>
          <w:rFonts w:hint="eastAsia"/>
          <w:highlight w:val="none"/>
          <w:lang w:val="en-US"/>
        </w:rPr>
        <w:t>5.1</w:t>
      </w:r>
      <w:r>
        <w:rPr>
          <w:rFonts w:hint="eastAsia"/>
          <w:highlight w:val="none"/>
        </w:rPr>
        <w:t>总体要求</w:t>
      </w:r>
      <w:bookmarkEnd w:id="105"/>
    </w:p>
    <w:p>
      <w:pPr>
        <w:rPr>
          <w:highlight w:val="none"/>
          <w:lang w:val="fr-FR"/>
        </w:rPr>
      </w:pPr>
      <w:r>
        <w:rPr>
          <w:rFonts w:hint="eastAsia"/>
          <w:highlight w:val="none"/>
          <w:lang w:val="fr-FR"/>
        </w:rPr>
        <w:t>智慧工地以现场实际施工及管理经验为依托，针对工地现场痛点，以安全通用管理要素为基础，聚合实名制门禁、视频监控</w:t>
      </w:r>
      <w:r>
        <w:rPr>
          <w:rFonts w:hint="eastAsia"/>
          <w:highlight w:val="none"/>
          <w:lang w:val="fr-FR" w:eastAsia="zh-CN"/>
        </w:rPr>
        <w:t>、</w:t>
      </w:r>
      <w:r>
        <w:rPr>
          <w:rFonts w:hint="eastAsia"/>
          <w:highlight w:val="none"/>
          <w:lang w:val="en-US" w:eastAsia="zh-CN"/>
        </w:rPr>
        <w:t>测速抓拍、人员定位</w:t>
      </w:r>
      <w:r>
        <w:rPr>
          <w:rFonts w:hint="eastAsia"/>
          <w:highlight w:val="none"/>
          <w:lang w:val="fr-FR"/>
        </w:rPr>
        <w:t>等业务核心数据，应用“互联网+”、“物联网+”、大数据分析、智能识别等技术，推动安全管理规范化、流程化、标准化、智能化和可视化，实现人、机、环、管风险预测预警、智能管控，降低企业安全生产事故发生率，使安全管理水平持续改进、不断提升。</w:t>
      </w:r>
    </w:p>
    <w:p>
      <w:pPr>
        <w:pStyle w:val="2"/>
        <w:numPr>
          <w:ilvl w:val="1"/>
          <w:numId w:val="0"/>
        </w:numPr>
        <w:rPr>
          <w:highlight w:val="none"/>
        </w:rPr>
      </w:pPr>
      <w:bookmarkStart w:id="106" w:name="_Toc16107"/>
      <w:r>
        <w:rPr>
          <w:rFonts w:hint="eastAsia"/>
          <w:highlight w:val="none"/>
          <w:lang w:val="en-US"/>
        </w:rPr>
        <w:t xml:space="preserve">5.2 </w:t>
      </w:r>
      <w:r>
        <w:rPr>
          <w:rFonts w:hint="eastAsia"/>
          <w:highlight w:val="none"/>
        </w:rPr>
        <w:t>中心控制室</w:t>
      </w:r>
      <w:bookmarkEnd w:id="106"/>
    </w:p>
    <w:p>
      <w:pPr>
        <w:pStyle w:val="4"/>
        <w:bidi w:val="0"/>
        <w:ind w:left="0" w:leftChars="0" w:firstLine="0" w:firstLineChars="0"/>
        <w:rPr>
          <w:rFonts w:hint="eastAsia"/>
          <w:highlight w:val="none"/>
          <w:lang w:val="en-US" w:eastAsia="zh-CN"/>
        </w:rPr>
      </w:pPr>
      <w:bookmarkStart w:id="107" w:name="_Toc2820"/>
      <w:bookmarkStart w:id="108" w:name="_Toc9324"/>
      <w:r>
        <w:rPr>
          <w:rFonts w:hint="eastAsia"/>
          <w:highlight w:val="none"/>
          <w:lang w:val="en-US" w:eastAsia="zh-CN"/>
        </w:rPr>
        <w:t>概述</w:t>
      </w:r>
      <w:bookmarkEnd w:id="107"/>
      <w:bookmarkEnd w:id="108"/>
    </w:p>
    <w:p>
      <w:pPr>
        <w:rPr>
          <w:rFonts w:hint="eastAsia"/>
          <w:highlight w:val="none"/>
          <w:lang w:val="fr-FR"/>
        </w:rPr>
      </w:pPr>
      <w:r>
        <w:rPr>
          <w:rFonts w:hint="eastAsia"/>
          <w:highlight w:val="none"/>
          <w:lang w:val="fr-FR"/>
        </w:rPr>
        <w:t>本项目拟在</w:t>
      </w:r>
      <w:r>
        <w:rPr>
          <w:rFonts w:hint="eastAsia"/>
          <w:highlight w:val="none"/>
          <w:lang w:val="en-US" w:eastAsia="zh-CN"/>
        </w:rPr>
        <w:t>聚碳</w:t>
      </w:r>
      <w:r>
        <w:rPr>
          <w:rFonts w:hint="eastAsia"/>
          <w:highlight w:val="none"/>
          <w:lang w:val="fr-FR"/>
        </w:rPr>
        <w:t>项目</w:t>
      </w:r>
      <w:r>
        <w:rPr>
          <w:rFonts w:hint="eastAsia"/>
          <w:highlight w:val="none"/>
          <w:lang w:val="en-US" w:eastAsia="zh-CN"/>
        </w:rPr>
        <w:t>集装箱9号房</w:t>
      </w:r>
      <w:r>
        <w:rPr>
          <w:rFonts w:hint="eastAsia"/>
          <w:highlight w:val="none"/>
          <w:lang w:val="fr-FR"/>
        </w:rPr>
        <w:t>建设中心控制室，总面积约 3</w:t>
      </w:r>
      <w:r>
        <w:rPr>
          <w:rFonts w:hint="eastAsia"/>
          <w:highlight w:val="none"/>
          <w:lang w:val="en-US" w:eastAsia="zh-CN"/>
        </w:rPr>
        <w:t>6</w:t>
      </w:r>
      <w:r>
        <w:rPr>
          <w:rFonts w:hint="eastAsia"/>
          <w:highlight w:val="none"/>
          <w:lang w:val="fr-FR"/>
        </w:rPr>
        <w:t>㎡，主要用于放置机柜，作为办公场所供运维人员使用，中心控制室内设置控制台，可供管理人员发布信息使用，以实现对外展示与集中显示的功能效果。</w:t>
      </w:r>
    </w:p>
    <w:p>
      <w:pPr>
        <w:jc w:val="center"/>
        <w:rPr>
          <w:rFonts w:asciiTheme="minorEastAsia" w:hAnsiTheme="minorEastAsia" w:eastAsiaTheme="minorEastAsia"/>
          <w:highlight w:val="none"/>
        </w:rPr>
      </w:pPr>
      <w:r>
        <w:rPr>
          <w:rFonts w:hint="eastAsia" w:asciiTheme="minorEastAsia" w:hAnsiTheme="minorEastAsia" w:eastAsiaTheme="minorEastAsia"/>
          <w:highlight w:val="none"/>
        </w:rPr>
        <w:drawing>
          <wp:inline distT="0" distB="0" distL="114300" distR="114300">
            <wp:extent cx="5206365" cy="2799715"/>
            <wp:effectExtent l="0" t="0" r="635" b="6985"/>
            <wp:docPr id="9" name="图片 7" descr="166062633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1660626337414"/>
                    <pic:cNvPicPr>
                      <a:picLocks noChangeAspect="1"/>
                    </pic:cNvPicPr>
                  </pic:nvPicPr>
                  <pic:blipFill>
                    <a:blip r:embed="rId13"/>
                    <a:stretch>
                      <a:fillRect/>
                    </a:stretch>
                  </pic:blipFill>
                  <pic:spPr>
                    <a:xfrm>
                      <a:off x="0" y="0"/>
                      <a:ext cx="5206365" cy="2799715"/>
                    </a:xfrm>
                    <a:prstGeom prst="rect">
                      <a:avLst/>
                    </a:prstGeom>
                    <a:noFill/>
                    <a:ln>
                      <a:noFill/>
                    </a:ln>
                  </pic:spPr>
                </pic:pic>
              </a:graphicData>
            </a:graphic>
          </wp:inline>
        </w:drawing>
      </w:r>
    </w:p>
    <w:p>
      <w:pPr>
        <w:spacing w:before="78" w:beforeLines="25" w:after="156" w:afterLines="50"/>
        <w:jc w:val="center"/>
        <w:rPr>
          <w:rFonts w:cs="仿宋_GB2312" w:asciiTheme="minorEastAsia" w:hAnsiTheme="minorEastAsia" w:eastAsiaTheme="minorEastAsia"/>
          <w:highlight w:val="none"/>
        </w:rPr>
      </w:pPr>
      <w:r>
        <w:rPr>
          <w:rFonts w:hint="eastAsia" w:cs="宋体"/>
          <w:szCs w:val="21"/>
          <w:highlight w:val="none"/>
        </w:rPr>
        <w:t>图5.</w:t>
      </w:r>
      <w:r>
        <w:rPr>
          <w:rFonts w:cs="宋体"/>
          <w:szCs w:val="21"/>
          <w:highlight w:val="none"/>
        </w:rPr>
        <w:t>2</w:t>
      </w:r>
      <w:r>
        <w:rPr>
          <w:rFonts w:hint="eastAsia" w:cs="宋体"/>
          <w:szCs w:val="21"/>
          <w:highlight w:val="none"/>
        </w:rPr>
        <w:t>-1</w:t>
      </w:r>
      <w:r>
        <w:rPr>
          <w:rFonts w:hint="eastAsia" w:cs="仿宋_GB2312" w:asciiTheme="minorEastAsia" w:hAnsiTheme="minorEastAsia" w:eastAsiaTheme="minorEastAsia"/>
          <w:highlight w:val="none"/>
        </w:rPr>
        <w:t>监控中心示意图</w:t>
      </w:r>
    </w:p>
    <w:p>
      <w:pPr>
        <w:pStyle w:val="4"/>
        <w:bidi w:val="0"/>
        <w:ind w:left="0" w:leftChars="0" w:firstLine="0" w:firstLineChars="0"/>
        <w:rPr>
          <w:rFonts w:hint="eastAsia"/>
          <w:highlight w:val="none"/>
        </w:rPr>
      </w:pPr>
      <w:bookmarkStart w:id="109" w:name="_Toc24810"/>
      <w:bookmarkStart w:id="110" w:name="_Toc26530"/>
      <w:r>
        <w:rPr>
          <w:rFonts w:hint="eastAsia"/>
          <w:highlight w:val="none"/>
        </w:rPr>
        <w:t>设备清单</w:t>
      </w:r>
      <w:r>
        <w:rPr>
          <w:rFonts w:hint="eastAsia"/>
          <w:highlight w:val="none"/>
          <w:lang w:eastAsia="zh-CN"/>
        </w:rPr>
        <w:t>（</w:t>
      </w:r>
      <w:r>
        <w:rPr>
          <w:rFonts w:hint="eastAsia"/>
          <w:highlight w:val="none"/>
          <w:lang w:val="en-US" w:eastAsia="zh-CN"/>
        </w:rPr>
        <w:t>具体数量以工程量清单为准</w:t>
      </w:r>
      <w:r>
        <w:rPr>
          <w:rFonts w:hint="eastAsia"/>
          <w:highlight w:val="none"/>
          <w:lang w:eastAsia="zh-CN"/>
        </w:rPr>
        <w:t>）</w:t>
      </w:r>
      <w:bookmarkEnd w:id="109"/>
      <w:bookmarkEnd w:id="110"/>
    </w:p>
    <w:tbl>
      <w:tblPr>
        <w:tblStyle w:val="15"/>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9"/>
        <w:gridCol w:w="4073"/>
        <w:gridCol w:w="1439"/>
        <w:gridCol w:w="1294"/>
        <w:gridCol w:w="1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 号</w:t>
            </w:r>
          </w:p>
        </w:tc>
        <w:tc>
          <w:tcPr>
            <w:tcW w:w="219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 称</w:t>
            </w:r>
          </w:p>
        </w:tc>
        <w:tc>
          <w:tcPr>
            <w:tcW w:w="7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6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w:t>
            </w:r>
          </w:p>
        </w:tc>
        <w:tc>
          <w:tcPr>
            <w:tcW w:w="219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中心控制室</w:t>
            </w:r>
          </w:p>
        </w:tc>
        <w:tc>
          <w:tcPr>
            <w:tcW w:w="7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iCs w:val="0"/>
                <w:color w:val="000000"/>
                <w:sz w:val="21"/>
                <w:szCs w:val="21"/>
                <w:u w:val="none"/>
              </w:rPr>
            </w:pPr>
          </w:p>
        </w:tc>
        <w:tc>
          <w:tcPr>
            <w:tcW w:w="6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iCs w:val="0"/>
                <w:color w:val="000000"/>
                <w:sz w:val="21"/>
                <w:szCs w:val="21"/>
                <w:u w:val="none"/>
              </w:rPr>
            </w:pP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default" w:ascii="宋体" w:hAnsi="宋体" w:eastAsia="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1</w:t>
            </w:r>
          </w:p>
        </w:tc>
        <w:tc>
          <w:tcPr>
            <w:tcW w:w="219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室内液晶电视（不低于98寸）采购、安装、调试服务</w:t>
            </w:r>
          </w:p>
        </w:tc>
        <w:tc>
          <w:tcPr>
            <w:tcW w:w="77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台</w:t>
            </w:r>
          </w:p>
        </w:tc>
        <w:tc>
          <w:tcPr>
            <w:tcW w:w="6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1</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rPr>
                <w:rFonts w:hint="default" w:ascii="宋体" w:hAnsi="宋体" w:eastAsia="宋体" w:cs="宋体"/>
                <w:i w:val="0"/>
                <w:iCs w:val="0"/>
                <w:color w:val="000000"/>
                <w:sz w:val="21"/>
                <w:szCs w:val="21"/>
                <w:highlight w:val="yellow"/>
                <w:u w:val="none"/>
                <w:lang w:val="en-US" w:eastAsia="zh-CN"/>
              </w:rPr>
            </w:pPr>
            <w:r>
              <w:rPr>
                <w:rFonts w:hint="eastAsia" w:ascii="宋体" w:hAnsi="宋体" w:cs="宋体"/>
                <w:i w:val="0"/>
                <w:iCs w:val="0"/>
                <w:color w:val="000000"/>
                <w:sz w:val="21"/>
                <w:szCs w:val="21"/>
                <w:highlight w:val="yellow"/>
                <w:u w:val="none"/>
                <w:lang w:val="en-US" w:eastAsia="zh-CN"/>
              </w:rPr>
              <w:t>100寸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p>
        </w:tc>
        <w:tc>
          <w:tcPr>
            <w:tcW w:w="219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操作台采购、安装、调试服务</w:t>
            </w:r>
          </w:p>
        </w:tc>
        <w:tc>
          <w:tcPr>
            <w:tcW w:w="7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p>
        </w:tc>
        <w:tc>
          <w:tcPr>
            <w:tcW w:w="219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工作站电脑（带显卡）采购、安装、调试服务</w:t>
            </w:r>
          </w:p>
        </w:tc>
        <w:tc>
          <w:tcPr>
            <w:tcW w:w="7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cs="宋体"/>
                <w:i w:val="0"/>
                <w:iCs w:val="0"/>
                <w:color w:val="000000"/>
                <w:kern w:val="0"/>
                <w:sz w:val="21"/>
                <w:szCs w:val="21"/>
                <w:highlight w:val="yellow"/>
                <w:u w:val="none"/>
                <w:lang w:val="en-US" w:eastAsia="zh-CN" w:bidi="ar"/>
              </w:rPr>
              <w:t>5</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p>
        </w:tc>
        <w:tc>
          <w:tcPr>
            <w:tcW w:w="219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智慧工地服务器采购、安装、调试服务</w:t>
            </w:r>
          </w:p>
        </w:tc>
        <w:tc>
          <w:tcPr>
            <w:tcW w:w="7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cs="宋体"/>
                <w:i w:val="0"/>
                <w:iCs w:val="0"/>
                <w:color w:val="000000"/>
                <w:kern w:val="0"/>
                <w:sz w:val="21"/>
                <w:szCs w:val="21"/>
                <w:highlight w:val="yellow"/>
                <w:u w:val="none"/>
                <w:lang w:val="en-US" w:eastAsia="zh-CN" w:bidi="ar"/>
              </w:rPr>
              <w:t>1</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p>
        </w:tc>
        <w:tc>
          <w:tcPr>
            <w:tcW w:w="219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视频存储服务器采购、安装、调试服务</w:t>
            </w:r>
          </w:p>
        </w:tc>
        <w:tc>
          <w:tcPr>
            <w:tcW w:w="7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6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6</w:t>
            </w:r>
          </w:p>
        </w:tc>
        <w:tc>
          <w:tcPr>
            <w:tcW w:w="219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核心交换机采购、安装、调试服务</w:t>
            </w:r>
          </w:p>
        </w:tc>
        <w:tc>
          <w:tcPr>
            <w:tcW w:w="7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7</w:t>
            </w:r>
          </w:p>
        </w:tc>
        <w:tc>
          <w:tcPr>
            <w:tcW w:w="219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机柜（含底座）采购、安装、调试服务</w:t>
            </w:r>
          </w:p>
        </w:tc>
        <w:tc>
          <w:tcPr>
            <w:tcW w:w="7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8</w:t>
            </w:r>
          </w:p>
        </w:tc>
        <w:tc>
          <w:tcPr>
            <w:tcW w:w="219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其它及装修（机房装修）采购、安装、调试服务</w:t>
            </w:r>
          </w:p>
        </w:tc>
        <w:tc>
          <w:tcPr>
            <w:tcW w:w="7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9</w:t>
            </w:r>
          </w:p>
        </w:tc>
        <w:tc>
          <w:tcPr>
            <w:tcW w:w="219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接入交换机采购、安装、调试服务</w:t>
            </w:r>
          </w:p>
        </w:tc>
        <w:tc>
          <w:tcPr>
            <w:tcW w:w="7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jc w:val="center"/>
        </w:trPr>
        <w:tc>
          <w:tcPr>
            <w:tcW w:w="62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default" w:ascii="宋体" w:hAnsi="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10</w:t>
            </w:r>
          </w:p>
        </w:tc>
        <w:tc>
          <w:tcPr>
            <w:tcW w:w="219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视频监控用显示设备</w:t>
            </w:r>
          </w:p>
        </w:tc>
        <w:tc>
          <w:tcPr>
            <w:tcW w:w="77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台</w:t>
            </w:r>
          </w:p>
        </w:tc>
        <w:tc>
          <w:tcPr>
            <w:tcW w:w="6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default" w:ascii="宋体" w:hAnsi="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4</w:t>
            </w:r>
          </w:p>
        </w:tc>
        <w:tc>
          <w:tcPr>
            <w:tcW w:w="70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86寸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highlight w:val="none"/>
              </w:rPr>
              <w:t>备注：具体技术参数请参考“7.硬件要求”及附件《</w:t>
            </w:r>
            <w:r>
              <w:rPr>
                <w:rFonts w:hint="eastAsia" w:ascii="宋体" w:hAnsi="宋体" w:eastAsia="宋体" w:cs="宋体"/>
                <w:sz w:val="21"/>
                <w:szCs w:val="21"/>
                <w:highlight w:val="none"/>
                <w:lang w:eastAsia="zh-CN"/>
              </w:rPr>
              <w:t>中海壳牌聚碳项目智慧工地清单</w:t>
            </w:r>
            <w:r>
              <w:rPr>
                <w:rFonts w:hint="eastAsia" w:ascii="宋体" w:hAnsi="宋体" w:eastAsia="宋体" w:cs="宋体"/>
                <w:sz w:val="21"/>
                <w:szCs w:val="21"/>
                <w:highlight w:val="none"/>
              </w:rPr>
              <w:t>》。</w:t>
            </w:r>
          </w:p>
        </w:tc>
      </w:tr>
    </w:tbl>
    <w:p>
      <w:pPr>
        <w:pStyle w:val="6"/>
        <w:ind w:left="0" w:leftChars="0" w:firstLine="0" w:firstLineChars="0"/>
        <w:jc w:val="left"/>
      </w:pPr>
    </w:p>
    <w:p>
      <w:pPr>
        <w:pStyle w:val="2"/>
        <w:bidi w:val="0"/>
        <w:ind w:left="0" w:leftChars="0" w:firstLine="0" w:firstLineChars="0"/>
        <w:rPr>
          <w:rFonts w:hint="eastAsia"/>
          <w:lang w:val="en-US" w:eastAsia="zh-CN"/>
        </w:rPr>
      </w:pPr>
      <w:r>
        <w:rPr>
          <w:rFonts w:hint="eastAsia"/>
          <w:lang w:val="en-US" w:eastAsia="zh-CN"/>
        </w:rPr>
        <w:t xml:space="preserve"> </w:t>
      </w:r>
      <w:bookmarkStart w:id="111" w:name="_Toc18306"/>
      <w:r>
        <w:rPr>
          <w:rFonts w:hint="eastAsia"/>
          <w:lang w:val="en-US" w:eastAsia="zh-CN"/>
        </w:rPr>
        <w:t>并入</w:t>
      </w:r>
      <w:r>
        <w:rPr>
          <w:rFonts w:hint="eastAsia"/>
        </w:rPr>
        <w:t>智能通行系统</w:t>
      </w:r>
      <w:bookmarkEnd w:id="111"/>
    </w:p>
    <w:p>
      <w:pPr>
        <w:pStyle w:val="4"/>
        <w:bidi w:val="0"/>
        <w:rPr>
          <w:rFonts w:hint="eastAsia"/>
          <w:lang w:val="en-US" w:eastAsia="zh-CN"/>
        </w:rPr>
      </w:pPr>
      <w:bookmarkStart w:id="112" w:name="_Toc23880"/>
      <w:bookmarkStart w:id="113" w:name="_Toc13517"/>
      <w:r>
        <w:rPr>
          <w:rFonts w:hint="eastAsia"/>
          <w:lang w:val="en-US" w:eastAsia="zh-CN"/>
        </w:rPr>
        <w:t>概述</w:t>
      </w:r>
      <w:bookmarkEnd w:id="112"/>
      <w:bookmarkEnd w:id="113"/>
    </w:p>
    <w:p>
      <w:pPr>
        <w:rPr>
          <w:highlight w:val="none"/>
        </w:rPr>
      </w:pPr>
      <w:r>
        <w:rPr>
          <w:rFonts w:hint="eastAsia"/>
          <w:highlight w:val="none"/>
        </w:rPr>
        <w:t>本项目</w:t>
      </w:r>
      <w:r>
        <w:rPr>
          <w:rFonts w:hint="eastAsia" w:ascii="宋体" w:hAnsi="宋体" w:eastAsia="宋体" w:cs="宋体"/>
        </w:rPr>
        <w:t>西门、1号门、2号门已建有智慧通行系统</w:t>
      </w:r>
      <w:r>
        <w:rPr>
          <w:highlight w:val="none"/>
        </w:rPr>
        <w:t>，</w:t>
      </w:r>
      <w:r>
        <w:rPr>
          <w:rFonts w:hint="eastAsia" w:ascii="宋体" w:hAnsi="宋体" w:eastAsia="宋体" w:cs="宋体"/>
        </w:rPr>
        <w:t>人员采用人脸识别开门，车辆采用车牌识别和司机人脸识别验证的方式。</w:t>
      </w:r>
      <w:r>
        <w:rPr>
          <w:rFonts w:hint="eastAsia" w:ascii="宋体" w:hAnsi="宋体" w:eastAsia="宋体" w:cs="宋体"/>
          <w:lang w:val="en-US" w:eastAsia="zh-CN"/>
        </w:rPr>
        <w:t>投标</w:t>
      </w:r>
      <w:r>
        <w:rPr>
          <w:rFonts w:hint="eastAsia" w:ascii="宋体" w:hAnsi="宋体" w:eastAsia="宋体" w:cs="宋体"/>
        </w:rPr>
        <w:t>方需将</w:t>
      </w:r>
      <w:r>
        <w:rPr>
          <w:rFonts w:hint="eastAsia" w:ascii="宋体" w:hAnsi="宋体" w:eastAsia="宋体" w:cs="宋体"/>
          <w:lang w:val="en-US" w:eastAsia="zh-CN"/>
        </w:rPr>
        <w:t>建设单位</w:t>
      </w:r>
      <w:r>
        <w:rPr>
          <w:rFonts w:hint="eastAsia" w:ascii="宋体" w:hAnsi="宋体" w:eastAsia="宋体" w:cs="宋体"/>
        </w:rPr>
        <w:t>门禁出入数据导入智慧工地平台，开放数据接口协议和管理控制权限，门禁系统中单位、人员和车辆信息的新建、变更、延期、注销等授权由聚碳信息管理平台直接处理（包括临时人员和车辆），门禁系统的所有数据存储在智慧工地服务器，相关门禁数据经过统计分析，以图表形式在智慧工地主页展示</w:t>
      </w:r>
      <w:r>
        <w:rPr>
          <w:rFonts w:hint="eastAsia"/>
          <w:highlight w:val="none"/>
          <w:lang w:val="en-US" w:eastAsia="zh-CN"/>
        </w:rPr>
        <w:t>。</w:t>
      </w:r>
    </w:p>
    <w:p>
      <w:pPr>
        <w:pStyle w:val="4"/>
        <w:bidi w:val="0"/>
        <w:rPr>
          <w:rFonts w:hint="eastAsia"/>
          <w:lang w:val="en-US" w:eastAsia="zh-CN"/>
        </w:rPr>
      </w:pPr>
      <w:bookmarkStart w:id="114" w:name="_Toc9720"/>
      <w:r>
        <w:rPr>
          <w:rFonts w:hint="eastAsia"/>
          <w:lang w:val="en-US" w:eastAsia="zh-CN"/>
        </w:rPr>
        <w:t>人行管理</w:t>
      </w:r>
      <w:bookmarkEnd w:id="114"/>
    </w:p>
    <w:p>
      <w:pPr>
        <w:pStyle w:val="8"/>
        <w:spacing w:before="117"/>
        <w:ind w:firstLineChars="0"/>
        <w:rPr>
          <w:spacing w:val="-3"/>
          <w:highlight w:val="none"/>
        </w:rPr>
      </w:pPr>
      <w:r>
        <w:rPr>
          <w:rFonts w:hint="eastAsia" w:ascii="宋体" w:hAnsi="宋体" w:eastAsia="宋体" w:cs="宋体"/>
        </w:rPr>
        <w:t>现有人员通道采用集装箱一体设计，设置三辊闸机和人脸识别通行系统，实现进出场人员实名制管理，配合入场培训，未取得门禁授权的人员禁止出入场区。人脸识别设备应能显示通过人员信息和所属单位。</w:t>
      </w:r>
      <w:r>
        <w:rPr>
          <w:rFonts w:hint="eastAsia" w:ascii="宋体" w:hAnsi="宋体" w:eastAsia="宋体" w:cs="宋体"/>
          <w:lang w:val="en-US" w:eastAsia="zh-CN"/>
        </w:rPr>
        <w:t>投标</w:t>
      </w:r>
      <w:r>
        <w:rPr>
          <w:rFonts w:hint="eastAsia" w:ascii="宋体" w:hAnsi="宋体" w:eastAsia="宋体" w:cs="宋体"/>
        </w:rPr>
        <w:t>方负责数据接入</w:t>
      </w:r>
      <w:r>
        <w:rPr>
          <w:spacing w:val="-3"/>
          <w:highlight w:val="none"/>
        </w:rPr>
        <w:t>。</w:t>
      </w:r>
    </w:p>
    <w:tbl>
      <w:tblPr>
        <w:tblStyle w:val="15"/>
        <w:tblW w:w="73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1713"/>
        <w:gridCol w:w="3720"/>
        <w:gridCol w:w="1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jc w:val="center"/>
        </w:trPr>
        <w:tc>
          <w:tcPr>
            <w:tcW w:w="759" w:type="dxa"/>
            <w:vAlign w:val="center"/>
          </w:tcPr>
          <w:p>
            <w:pPr>
              <w:pStyle w:val="27"/>
              <w:ind w:left="147" w:right="139"/>
              <w:jc w:val="center"/>
              <w:rPr>
                <w:rFonts w:ascii="宋体" w:hAnsi="宋体" w:eastAsia="宋体" w:cs="宋体"/>
                <w:b/>
              </w:rPr>
            </w:pPr>
            <w:r>
              <w:rPr>
                <w:rFonts w:hint="eastAsia" w:ascii="宋体" w:hAnsi="宋体" w:eastAsia="宋体" w:cs="宋体"/>
                <w:b/>
              </w:rPr>
              <w:t>序号</w:t>
            </w:r>
          </w:p>
        </w:tc>
        <w:tc>
          <w:tcPr>
            <w:tcW w:w="1713" w:type="dxa"/>
            <w:vAlign w:val="center"/>
          </w:tcPr>
          <w:p>
            <w:pPr>
              <w:pStyle w:val="27"/>
              <w:ind w:left="159" w:right="155"/>
              <w:jc w:val="center"/>
              <w:rPr>
                <w:rFonts w:ascii="宋体" w:hAnsi="宋体" w:eastAsia="宋体" w:cs="宋体"/>
                <w:b/>
              </w:rPr>
            </w:pPr>
            <w:r>
              <w:rPr>
                <w:rFonts w:hint="eastAsia" w:ascii="宋体" w:hAnsi="宋体" w:eastAsia="宋体" w:cs="宋体"/>
                <w:b/>
              </w:rPr>
              <w:t>门岗</w:t>
            </w:r>
          </w:p>
        </w:tc>
        <w:tc>
          <w:tcPr>
            <w:tcW w:w="3720" w:type="dxa"/>
            <w:vAlign w:val="center"/>
          </w:tcPr>
          <w:p>
            <w:pPr>
              <w:pStyle w:val="27"/>
              <w:ind w:left="677" w:right="672"/>
              <w:jc w:val="center"/>
              <w:rPr>
                <w:rFonts w:ascii="宋体" w:hAnsi="宋体" w:eastAsia="宋体" w:cs="宋体"/>
                <w:b/>
              </w:rPr>
            </w:pPr>
            <w:r>
              <w:rPr>
                <w:rFonts w:hint="eastAsia" w:ascii="宋体" w:hAnsi="宋体" w:eastAsia="宋体" w:cs="宋体"/>
                <w:b/>
              </w:rPr>
              <w:t>三辊闸机</w:t>
            </w:r>
          </w:p>
        </w:tc>
        <w:tc>
          <w:tcPr>
            <w:tcW w:w="1200" w:type="dxa"/>
            <w:vAlign w:val="center"/>
          </w:tcPr>
          <w:p>
            <w:pPr>
              <w:pStyle w:val="27"/>
              <w:ind w:left="105" w:right="100"/>
              <w:jc w:val="center"/>
              <w:rPr>
                <w:rFonts w:ascii="宋体" w:hAnsi="宋体" w:eastAsia="宋体" w:cs="宋体"/>
                <w:b/>
              </w:rPr>
            </w:pPr>
            <w:r>
              <w:rPr>
                <w:rFonts w:hint="eastAsia" w:ascii="宋体" w:hAnsi="宋体" w:eastAsia="宋体" w:cs="宋体"/>
                <w:b/>
              </w:rPr>
              <w:t>人脸设备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jc w:val="center"/>
        </w:trPr>
        <w:tc>
          <w:tcPr>
            <w:tcW w:w="759" w:type="dxa"/>
            <w:vAlign w:val="center"/>
          </w:tcPr>
          <w:p>
            <w:pPr>
              <w:pStyle w:val="27"/>
              <w:spacing w:before="162"/>
              <w:ind w:left="10"/>
              <w:jc w:val="center"/>
              <w:rPr>
                <w:rFonts w:ascii="宋体" w:hAnsi="宋体" w:eastAsia="宋体" w:cs="宋体"/>
              </w:rPr>
            </w:pPr>
            <w:r>
              <w:rPr>
                <w:rFonts w:hint="eastAsia" w:ascii="宋体" w:hAnsi="宋体" w:eastAsia="宋体" w:cs="宋体"/>
                <w:w w:val="99"/>
              </w:rPr>
              <w:t>1</w:t>
            </w:r>
          </w:p>
        </w:tc>
        <w:tc>
          <w:tcPr>
            <w:tcW w:w="1713" w:type="dxa"/>
            <w:vAlign w:val="center"/>
          </w:tcPr>
          <w:p>
            <w:pPr>
              <w:pStyle w:val="27"/>
              <w:spacing w:before="162"/>
              <w:ind w:left="161" w:right="155"/>
              <w:jc w:val="center"/>
              <w:rPr>
                <w:rFonts w:ascii="宋体" w:hAnsi="宋体" w:eastAsia="宋体" w:cs="宋体"/>
              </w:rPr>
            </w:pPr>
            <w:r>
              <w:rPr>
                <w:rFonts w:hint="eastAsia" w:ascii="宋体" w:hAnsi="宋体" w:eastAsia="宋体" w:cs="宋体"/>
              </w:rPr>
              <w:t>1号门</w:t>
            </w:r>
          </w:p>
        </w:tc>
        <w:tc>
          <w:tcPr>
            <w:tcW w:w="3720" w:type="dxa"/>
            <w:vAlign w:val="center"/>
          </w:tcPr>
          <w:p>
            <w:pPr>
              <w:pStyle w:val="27"/>
              <w:spacing w:before="162"/>
              <w:ind w:left="679" w:right="672"/>
              <w:jc w:val="center"/>
              <w:rPr>
                <w:rFonts w:ascii="宋体" w:hAnsi="宋体" w:eastAsia="宋体" w:cs="宋体"/>
              </w:rPr>
            </w:pPr>
            <w:r>
              <w:rPr>
                <w:rFonts w:hint="eastAsia" w:ascii="宋体" w:hAnsi="宋体" w:eastAsia="宋体" w:cs="宋体"/>
              </w:rPr>
              <w:t>20</w:t>
            </w:r>
          </w:p>
        </w:tc>
        <w:tc>
          <w:tcPr>
            <w:tcW w:w="1200" w:type="dxa"/>
            <w:vAlign w:val="center"/>
          </w:tcPr>
          <w:p>
            <w:pPr>
              <w:pStyle w:val="27"/>
              <w:spacing w:before="162"/>
              <w:ind w:left="105" w:right="98"/>
              <w:jc w:val="center"/>
              <w:rPr>
                <w:rFonts w:ascii="宋体" w:hAnsi="宋体" w:eastAsia="宋体" w:cs="宋体"/>
              </w:rPr>
            </w:pPr>
            <w:r>
              <w:rPr>
                <w:rFonts w:hint="eastAsia" w:ascii="宋体" w:hAnsi="宋体" w:eastAsia="宋体" w:cs="宋体"/>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759" w:type="dxa"/>
            <w:vAlign w:val="center"/>
          </w:tcPr>
          <w:p>
            <w:pPr>
              <w:pStyle w:val="27"/>
              <w:spacing w:before="162"/>
              <w:ind w:left="10"/>
              <w:jc w:val="center"/>
              <w:rPr>
                <w:rFonts w:ascii="宋体" w:hAnsi="宋体" w:eastAsia="宋体" w:cs="宋体"/>
              </w:rPr>
            </w:pPr>
            <w:r>
              <w:rPr>
                <w:rFonts w:hint="eastAsia" w:ascii="宋体" w:hAnsi="宋体" w:eastAsia="宋体" w:cs="宋体"/>
                <w:w w:val="99"/>
              </w:rPr>
              <w:t>2</w:t>
            </w:r>
          </w:p>
        </w:tc>
        <w:tc>
          <w:tcPr>
            <w:tcW w:w="1713" w:type="dxa"/>
            <w:vAlign w:val="center"/>
          </w:tcPr>
          <w:p>
            <w:pPr>
              <w:pStyle w:val="27"/>
              <w:spacing w:before="162"/>
              <w:ind w:left="161" w:right="155"/>
              <w:jc w:val="center"/>
              <w:rPr>
                <w:rFonts w:ascii="宋体" w:hAnsi="宋体" w:eastAsia="宋体" w:cs="宋体"/>
              </w:rPr>
            </w:pPr>
            <w:r>
              <w:rPr>
                <w:rFonts w:hint="eastAsia" w:ascii="宋体" w:hAnsi="宋体" w:eastAsia="宋体" w:cs="宋体"/>
              </w:rPr>
              <w:t>西门</w:t>
            </w:r>
          </w:p>
        </w:tc>
        <w:tc>
          <w:tcPr>
            <w:tcW w:w="3720" w:type="dxa"/>
            <w:vAlign w:val="center"/>
          </w:tcPr>
          <w:p>
            <w:pPr>
              <w:pStyle w:val="27"/>
              <w:spacing w:before="162"/>
              <w:ind w:left="679" w:right="672"/>
              <w:jc w:val="center"/>
              <w:rPr>
                <w:rFonts w:ascii="宋体" w:hAnsi="宋体" w:eastAsia="宋体" w:cs="宋体"/>
              </w:rPr>
            </w:pPr>
            <w:r>
              <w:rPr>
                <w:rFonts w:hint="eastAsia" w:ascii="宋体" w:hAnsi="宋体" w:eastAsia="宋体" w:cs="宋体"/>
              </w:rPr>
              <w:t>6</w:t>
            </w:r>
          </w:p>
        </w:tc>
        <w:tc>
          <w:tcPr>
            <w:tcW w:w="1200" w:type="dxa"/>
            <w:vAlign w:val="center"/>
          </w:tcPr>
          <w:p>
            <w:pPr>
              <w:pStyle w:val="27"/>
              <w:spacing w:before="162"/>
              <w:ind w:left="105" w:right="96"/>
              <w:jc w:val="center"/>
              <w:rPr>
                <w:rFonts w:ascii="宋体" w:hAnsi="宋体" w:eastAsia="宋体" w:cs="宋体"/>
              </w:rPr>
            </w:pPr>
            <w:r>
              <w:rPr>
                <w:rFonts w:hint="eastAsia" w:ascii="宋体" w:hAnsi="宋体" w:eastAsia="宋体" w:cs="宋体"/>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759" w:type="dxa"/>
            <w:vAlign w:val="center"/>
          </w:tcPr>
          <w:p>
            <w:pPr>
              <w:pStyle w:val="27"/>
              <w:spacing w:before="160"/>
              <w:ind w:left="10"/>
              <w:jc w:val="center"/>
              <w:rPr>
                <w:rFonts w:ascii="宋体" w:hAnsi="宋体" w:eastAsia="宋体" w:cs="宋体"/>
              </w:rPr>
            </w:pPr>
            <w:r>
              <w:rPr>
                <w:rFonts w:hint="eastAsia" w:ascii="宋体" w:hAnsi="宋体" w:eastAsia="宋体" w:cs="宋体"/>
                <w:w w:val="99"/>
              </w:rPr>
              <w:t>3</w:t>
            </w:r>
          </w:p>
        </w:tc>
        <w:tc>
          <w:tcPr>
            <w:tcW w:w="1713" w:type="dxa"/>
            <w:vAlign w:val="center"/>
          </w:tcPr>
          <w:p>
            <w:pPr>
              <w:pStyle w:val="27"/>
              <w:spacing w:before="160"/>
              <w:ind w:left="164" w:right="155"/>
              <w:jc w:val="center"/>
              <w:rPr>
                <w:rFonts w:ascii="宋体" w:hAnsi="宋体" w:eastAsia="宋体" w:cs="宋体"/>
              </w:rPr>
            </w:pPr>
            <w:r>
              <w:rPr>
                <w:rFonts w:hint="eastAsia" w:ascii="宋体" w:hAnsi="宋体" w:eastAsia="宋体" w:cs="宋体"/>
              </w:rPr>
              <w:t>2号门</w:t>
            </w:r>
          </w:p>
        </w:tc>
        <w:tc>
          <w:tcPr>
            <w:tcW w:w="3720" w:type="dxa"/>
            <w:vAlign w:val="center"/>
          </w:tcPr>
          <w:p>
            <w:pPr>
              <w:pStyle w:val="27"/>
              <w:spacing w:before="160"/>
              <w:ind w:left="679" w:right="672"/>
              <w:jc w:val="center"/>
              <w:rPr>
                <w:rFonts w:ascii="宋体" w:hAnsi="宋体" w:eastAsia="宋体" w:cs="宋体"/>
              </w:rPr>
            </w:pPr>
            <w:r>
              <w:rPr>
                <w:rFonts w:hint="eastAsia" w:ascii="宋体" w:hAnsi="宋体" w:eastAsia="宋体" w:cs="宋体"/>
              </w:rPr>
              <w:t>2</w:t>
            </w:r>
          </w:p>
        </w:tc>
        <w:tc>
          <w:tcPr>
            <w:tcW w:w="1200" w:type="dxa"/>
            <w:vAlign w:val="center"/>
          </w:tcPr>
          <w:p>
            <w:pPr>
              <w:pStyle w:val="27"/>
              <w:spacing w:before="160"/>
              <w:ind w:left="105" w:right="98"/>
              <w:jc w:val="center"/>
              <w:rPr>
                <w:rFonts w:ascii="宋体" w:hAnsi="宋体" w:eastAsia="宋体" w:cs="宋体"/>
              </w:rPr>
            </w:pPr>
            <w:r>
              <w:rPr>
                <w:rFonts w:hint="eastAsia" w:ascii="宋体" w:hAnsi="宋体" w:eastAsia="宋体" w:cs="宋体"/>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472" w:type="dxa"/>
            <w:gridSpan w:val="2"/>
            <w:vAlign w:val="center"/>
          </w:tcPr>
          <w:p>
            <w:pPr>
              <w:pStyle w:val="27"/>
              <w:spacing w:before="1"/>
              <w:ind w:left="581" w:right="574"/>
              <w:jc w:val="center"/>
              <w:rPr>
                <w:rFonts w:ascii="宋体" w:hAnsi="宋体" w:eastAsia="宋体" w:cs="宋体"/>
                <w:b/>
              </w:rPr>
            </w:pPr>
            <w:r>
              <w:rPr>
                <w:rFonts w:hint="eastAsia" w:ascii="宋体" w:hAnsi="宋体" w:eastAsia="宋体" w:cs="宋体"/>
                <w:b/>
              </w:rPr>
              <w:t>合计</w:t>
            </w:r>
          </w:p>
        </w:tc>
        <w:tc>
          <w:tcPr>
            <w:tcW w:w="3720" w:type="dxa"/>
            <w:vAlign w:val="center"/>
          </w:tcPr>
          <w:p>
            <w:pPr>
              <w:pStyle w:val="27"/>
              <w:spacing w:before="1"/>
              <w:ind w:left="679" w:right="669"/>
              <w:jc w:val="center"/>
              <w:rPr>
                <w:rFonts w:ascii="宋体" w:hAnsi="宋体" w:eastAsia="宋体" w:cs="宋体"/>
              </w:rPr>
            </w:pPr>
            <w:r>
              <w:rPr>
                <w:rFonts w:hint="eastAsia" w:ascii="宋体" w:hAnsi="宋体" w:eastAsia="宋体" w:cs="宋体"/>
              </w:rPr>
              <w:t>28</w:t>
            </w:r>
          </w:p>
        </w:tc>
        <w:tc>
          <w:tcPr>
            <w:tcW w:w="1200" w:type="dxa"/>
            <w:vAlign w:val="center"/>
          </w:tcPr>
          <w:p>
            <w:pPr>
              <w:pStyle w:val="27"/>
              <w:spacing w:before="1"/>
              <w:ind w:left="105" w:right="96"/>
              <w:jc w:val="center"/>
              <w:rPr>
                <w:rFonts w:ascii="宋体" w:hAnsi="宋体" w:eastAsia="宋体" w:cs="宋体"/>
              </w:rPr>
            </w:pPr>
            <w:r>
              <w:rPr>
                <w:rFonts w:hint="eastAsia" w:ascii="宋体" w:hAnsi="宋体" w:eastAsia="宋体" w:cs="宋体"/>
              </w:rPr>
              <w:t>56</w:t>
            </w:r>
          </w:p>
        </w:tc>
      </w:tr>
    </w:tbl>
    <w:p>
      <w:pPr>
        <w:pStyle w:val="4"/>
        <w:bidi w:val="0"/>
        <w:rPr>
          <w:rFonts w:hint="eastAsia"/>
          <w:lang w:val="en-US" w:eastAsia="zh-CN"/>
        </w:rPr>
      </w:pPr>
      <w:bookmarkStart w:id="115" w:name="_Toc18907"/>
      <w:r>
        <w:rPr>
          <w:rFonts w:hint="eastAsia"/>
          <w:lang w:val="en-US" w:eastAsia="zh-CN"/>
        </w:rPr>
        <w:t>车行管理</w:t>
      </w:r>
      <w:bookmarkEnd w:id="115"/>
    </w:p>
    <w:p>
      <w:pPr>
        <w:pStyle w:val="8"/>
        <w:spacing w:line="364" w:lineRule="auto"/>
        <w:ind w:right="355" w:firstLineChars="0"/>
        <w:rPr>
          <w:highlight w:val="none"/>
        </w:rPr>
      </w:pPr>
      <w:r>
        <w:rPr>
          <w:rFonts w:hint="eastAsia"/>
          <w:highlight w:val="none"/>
        </w:rPr>
        <w:t>投标方</w:t>
      </w:r>
      <w:r>
        <w:rPr>
          <w:highlight w:val="none"/>
        </w:rPr>
        <w:t>需</w:t>
      </w:r>
      <w:r>
        <w:rPr>
          <w:rFonts w:hint="eastAsia"/>
          <w:highlight w:val="none"/>
          <w:lang w:val="en-US" w:eastAsia="zh-CN"/>
        </w:rPr>
        <w:t>将</w:t>
      </w:r>
      <w:r>
        <w:rPr>
          <w:rFonts w:hint="eastAsia" w:ascii="宋体" w:hAnsi="宋体" w:eastAsia="宋体" w:cs="宋体"/>
        </w:rPr>
        <w:t>已有车辆出入管理系统数据整合到智慧工地平台中，进行统一界面的呈现</w:t>
      </w:r>
      <w:r>
        <w:rPr>
          <w:highlight w:val="none"/>
        </w:rPr>
        <w:t>。</w:t>
      </w:r>
    </w:p>
    <w:tbl>
      <w:tblPr>
        <w:tblStyle w:val="15"/>
        <w:tblW w:w="404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17"/>
        <w:gridCol w:w="2394"/>
        <w:gridCol w:w="44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jc w:val="center"/>
        </w:trPr>
        <w:tc>
          <w:tcPr>
            <w:tcW w:w="352" w:type="pct"/>
            <w:vAlign w:val="center"/>
          </w:tcPr>
          <w:p>
            <w:pPr>
              <w:pStyle w:val="27"/>
              <w:ind w:left="147" w:right="139"/>
              <w:jc w:val="center"/>
              <w:rPr>
                <w:rFonts w:ascii="宋体" w:hAnsi="宋体" w:eastAsia="宋体" w:cs="宋体"/>
                <w:b/>
              </w:rPr>
            </w:pPr>
            <w:r>
              <w:rPr>
                <w:rFonts w:hint="eastAsia" w:ascii="宋体" w:hAnsi="宋体" w:eastAsia="宋体" w:cs="宋体"/>
                <w:b/>
              </w:rPr>
              <w:t>序号</w:t>
            </w:r>
          </w:p>
        </w:tc>
        <w:tc>
          <w:tcPr>
            <w:tcW w:w="1628" w:type="pct"/>
            <w:vAlign w:val="center"/>
          </w:tcPr>
          <w:p>
            <w:pPr>
              <w:pStyle w:val="27"/>
              <w:ind w:left="159" w:right="155"/>
              <w:jc w:val="center"/>
              <w:rPr>
                <w:rFonts w:ascii="宋体" w:hAnsi="宋体" w:eastAsia="宋体" w:cs="宋体"/>
                <w:b/>
              </w:rPr>
            </w:pPr>
            <w:r>
              <w:rPr>
                <w:rFonts w:hint="eastAsia" w:ascii="宋体" w:hAnsi="宋体" w:eastAsia="宋体" w:cs="宋体"/>
                <w:b/>
              </w:rPr>
              <w:t>门岗</w:t>
            </w:r>
          </w:p>
        </w:tc>
        <w:tc>
          <w:tcPr>
            <w:tcW w:w="3018" w:type="pct"/>
            <w:vAlign w:val="center"/>
          </w:tcPr>
          <w:p>
            <w:pPr>
              <w:pStyle w:val="27"/>
              <w:ind w:left="677" w:right="672"/>
              <w:jc w:val="center"/>
              <w:rPr>
                <w:rFonts w:ascii="宋体" w:hAnsi="宋体" w:eastAsia="宋体" w:cs="宋体"/>
                <w:b/>
              </w:rPr>
            </w:pPr>
            <w:r>
              <w:rPr>
                <w:rFonts w:hint="eastAsia" w:ascii="宋体" w:hAnsi="宋体" w:eastAsia="宋体" w:cs="宋体"/>
                <w:b/>
                <w:lang w:val="en-US" w:eastAsia="zh-CN"/>
              </w:rPr>
              <w:t>车</w:t>
            </w:r>
            <w:r>
              <w:rPr>
                <w:rFonts w:hint="eastAsia" w:ascii="宋体" w:hAnsi="宋体" w:eastAsia="宋体" w:cs="宋体"/>
                <w:b/>
              </w:rPr>
              <w:t>闸机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jc w:val="center"/>
        </w:trPr>
        <w:tc>
          <w:tcPr>
            <w:tcW w:w="352" w:type="pct"/>
            <w:vAlign w:val="center"/>
          </w:tcPr>
          <w:p>
            <w:pPr>
              <w:pStyle w:val="27"/>
              <w:spacing w:before="162"/>
              <w:ind w:left="10"/>
              <w:jc w:val="center"/>
              <w:rPr>
                <w:rFonts w:ascii="宋体" w:hAnsi="宋体" w:eastAsia="宋体" w:cs="宋体"/>
              </w:rPr>
            </w:pPr>
            <w:r>
              <w:rPr>
                <w:rFonts w:hint="eastAsia" w:ascii="宋体" w:hAnsi="宋体" w:eastAsia="宋体" w:cs="宋体"/>
                <w:w w:val="99"/>
              </w:rPr>
              <w:t>1</w:t>
            </w:r>
          </w:p>
        </w:tc>
        <w:tc>
          <w:tcPr>
            <w:tcW w:w="1628" w:type="pct"/>
            <w:vAlign w:val="center"/>
          </w:tcPr>
          <w:p>
            <w:pPr>
              <w:pStyle w:val="27"/>
              <w:spacing w:before="162"/>
              <w:ind w:left="161" w:right="155"/>
              <w:jc w:val="center"/>
              <w:rPr>
                <w:rFonts w:ascii="宋体" w:hAnsi="宋体" w:eastAsia="宋体" w:cs="宋体"/>
              </w:rPr>
            </w:pPr>
            <w:r>
              <w:rPr>
                <w:rFonts w:hint="eastAsia" w:ascii="宋体" w:hAnsi="宋体" w:eastAsia="宋体" w:cs="宋体"/>
              </w:rPr>
              <w:t>1号门</w:t>
            </w:r>
          </w:p>
        </w:tc>
        <w:tc>
          <w:tcPr>
            <w:tcW w:w="3018" w:type="pct"/>
            <w:vAlign w:val="center"/>
          </w:tcPr>
          <w:p>
            <w:pPr>
              <w:pStyle w:val="27"/>
              <w:spacing w:before="162"/>
              <w:ind w:left="679" w:right="672"/>
              <w:jc w:val="center"/>
              <w:rPr>
                <w:rFonts w:hint="eastAsia" w:ascii="宋体" w:hAnsi="宋体" w:eastAsia="宋体" w:cs="宋体"/>
                <w:lang w:eastAsia="zh-CN"/>
              </w:rPr>
            </w:pPr>
            <w:r>
              <w:rPr>
                <w:rFonts w:hint="eastAsia" w:ascii="宋体" w:hAnsi="宋体" w:eastAsia="宋体" w:cs="宋体"/>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352" w:type="pct"/>
            <w:vAlign w:val="center"/>
          </w:tcPr>
          <w:p>
            <w:pPr>
              <w:pStyle w:val="27"/>
              <w:spacing w:before="162"/>
              <w:ind w:left="10"/>
              <w:jc w:val="center"/>
              <w:rPr>
                <w:rFonts w:ascii="宋体" w:hAnsi="宋体" w:eastAsia="宋体" w:cs="宋体"/>
              </w:rPr>
            </w:pPr>
            <w:r>
              <w:rPr>
                <w:rFonts w:hint="eastAsia" w:ascii="宋体" w:hAnsi="宋体" w:eastAsia="宋体" w:cs="宋体"/>
                <w:w w:val="99"/>
              </w:rPr>
              <w:t>2</w:t>
            </w:r>
          </w:p>
        </w:tc>
        <w:tc>
          <w:tcPr>
            <w:tcW w:w="1628" w:type="pct"/>
            <w:vAlign w:val="center"/>
          </w:tcPr>
          <w:p>
            <w:pPr>
              <w:pStyle w:val="27"/>
              <w:spacing w:before="162"/>
              <w:ind w:left="161" w:right="155"/>
              <w:jc w:val="center"/>
              <w:rPr>
                <w:rFonts w:ascii="宋体" w:hAnsi="宋体" w:eastAsia="宋体" w:cs="宋体"/>
              </w:rPr>
            </w:pPr>
            <w:r>
              <w:rPr>
                <w:rFonts w:hint="eastAsia" w:ascii="宋体" w:hAnsi="宋体" w:eastAsia="宋体" w:cs="宋体"/>
              </w:rPr>
              <w:t>西门</w:t>
            </w:r>
          </w:p>
        </w:tc>
        <w:tc>
          <w:tcPr>
            <w:tcW w:w="3018" w:type="pct"/>
            <w:vAlign w:val="center"/>
          </w:tcPr>
          <w:p>
            <w:pPr>
              <w:pStyle w:val="27"/>
              <w:spacing w:before="162"/>
              <w:ind w:left="679" w:right="672"/>
              <w:jc w:val="center"/>
              <w:rPr>
                <w:rFonts w:hint="eastAsia" w:ascii="宋体" w:hAnsi="宋体" w:eastAsia="宋体" w:cs="宋体"/>
                <w:lang w:eastAsia="zh-CN"/>
              </w:rPr>
            </w:pPr>
            <w:r>
              <w:rPr>
                <w:rFonts w:hint="eastAsia" w:ascii="宋体" w:hAnsi="宋体" w:eastAsia="宋体" w:cs="宋体"/>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352" w:type="pct"/>
            <w:vAlign w:val="center"/>
          </w:tcPr>
          <w:p>
            <w:pPr>
              <w:pStyle w:val="27"/>
              <w:spacing w:before="160"/>
              <w:ind w:left="10"/>
              <w:jc w:val="center"/>
              <w:rPr>
                <w:rFonts w:ascii="宋体" w:hAnsi="宋体" w:eastAsia="宋体" w:cs="宋体"/>
              </w:rPr>
            </w:pPr>
            <w:r>
              <w:rPr>
                <w:rFonts w:hint="eastAsia" w:ascii="宋体" w:hAnsi="宋体" w:eastAsia="宋体" w:cs="宋体"/>
                <w:w w:val="99"/>
              </w:rPr>
              <w:t>3</w:t>
            </w:r>
          </w:p>
        </w:tc>
        <w:tc>
          <w:tcPr>
            <w:tcW w:w="1628" w:type="pct"/>
            <w:vAlign w:val="center"/>
          </w:tcPr>
          <w:p>
            <w:pPr>
              <w:pStyle w:val="27"/>
              <w:spacing w:before="160"/>
              <w:ind w:left="164" w:right="155"/>
              <w:jc w:val="center"/>
              <w:rPr>
                <w:rFonts w:ascii="宋体" w:hAnsi="宋体" w:eastAsia="宋体" w:cs="宋体"/>
              </w:rPr>
            </w:pPr>
            <w:r>
              <w:rPr>
                <w:rFonts w:hint="eastAsia" w:ascii="宋体" w:hAnsi="宋体" w:eastAsia="宋体" w:cs="宋体"/>
              </w:rPr>
              <w:t>2号门</w:t>
            </w:r>
          </w:p>
        </w:tc>
        <w:tc>
          <w:tcPr>
            <w:tcW w:w="3018" w:type="pct"/>
            <w:vAlign w:val="center"/>
          </w:tcPr>
          <w:p>
            <w:pPr>
              <w:pStyle w:val="27"/>
              <w:spacing w:before="160"/>
              <w:ind w:left="679" w:right="672"/>
              <w:jc w:val="center"/>
              <w:rPr>
                <w:rFonts w:hint="eastAsia" w:ascii="宋体" w:hAnsi="宋体" w:eastAsia="宋体" w:cs="宋体"/>
                <w:lang w:eastAsia="zh-CN"/>
              </w:rPr>
            </w:pPr>
            <w:r>
              <w:rPr>
                <w:rFonts w:hint="eastAsia" w:ascii="宋体" w:hAnsi="宋体" w:eastAsia="宋体" w:cs="宋体"/>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981" w:type="pct"/>
            <w:gridSpan w:val="2"/>
            <w:vAlign w:val="center"/>
          </w:tcPr>
          <w:p>
            <w:pPr>
              <w:pStyle w:val="27"/>
              <w:spacing w:before="1"/>
              <w:ind w:left="581" w:right="574"/>
              <w:jc w:val="center"/>
              <w:rPr>
                <w:rFonts w:ascii="宋体" w:hAnsi="宋体" w:eastAsia="宋体" w:cs="宋体"/>
                <w:b/>
              </w:rPr>
            </w:pPr>
            <w:r>
              <w:rPr>
                <w:rFonts w:hint="eastAsia" w:ascii="宋体" w:hAnsi="宋体" w:eastAsia="宋体" w:cs="宋体"/>
                <w:b/>
              </w:rPr>
              <w:t>合计</w:t>
            </w:r>
          </w:p>
        </w:tc>
        <w:tc>
          <w:tcPr>
            <w:tcW w:w="3018" w:type="pct"/>
            <w:vAlign w:val="center"/>
          </w:tcPr>
          <w:p>
            <w:pPr>
              <w:pStyle w:val="27"/>
              <w:spacing w:before="1"/>
              <w:ind w:left="679" w:right="669"/>
              <w:jc w:val="center"/>
              <w:rPr>
                <w:rFonts w:hint="eastAsia" w:ascii="宋体" w:hAnsi="宋体" w:eastAsia="宋体" w:cs="宋体"/>
                <w:lang w:eastAsia="zh-CN"/>
              </w:rPr>
            </w:pPr>
            <w:r>
              <w:rPr>
                <w:rFonts w:hint="eastAsia" w:ascii="宋体" w:hAnsi="宋体" w:eastAsia="宋体" w:cs="宋体"/>
                <w:lang w:val="en-US" w:eastAsia="zh-CN"/>
              </w:rPr>
              <w:t>3</w:t>
            </w:r>
          </w:p>
        </w:tc>
      </w:tr>
    </w:tbl>
    <w:p>
      <w:pPr>
        <w:rPr>
          <w:rFonts w:hint="eastAsia"/>
        </w:rPr>
      </w:pPr>
    </w:p>
    <w:p>
      <w:pPr>
        <w:pStyle w:val="2"/>
        <w:bidi w:val="0"/>
        <w:ind w:left="0" w:leftChars="0" w:firstLine="0" w:firstLineChars="0"/>
        <w:rPr>
          <w:rFonts w:hint="eastAsia"/>
          <w:lang w:val="en-US" w:eastAsia="zh-CN"/>
        </w:rPr>
      </w:pPr>
      <w:r>
        <w:rPr>
          <w:rFonts w:hint="eastAsia"/>
          <w:lang w:val="en-US" w:eastAsia="zh-CN"/>
        </w:rPr>
        <w:t xml:space="preserve"> </w:t>
      </w:r>
      <w:bookmarkStart w:id="116" w:name="_Toc28500"/>
      <w:r>
        <w:rPr>
          <w:rFonts w:hint="eastAsia"/>
          <w:lang w:val="en-US" w:eastAsia="zh-CN"/>
        </w:rPr>
        <w:t>东联码头CSAS车道闸</w:t>
      </w:r>
      <w:bookmarkEnd w:id="116"/>
    </w:p>
    <w:p>
      <w:pPr>
        <w:pStyle w:val="8"/>
        <w:autoSpaceDE w:val="0"/>
        <w:autoSpaceDN w:val="0"/>
        <w:spacing w:line="360" w:lineRule="auto"/>
        <w:ind w:left="0" w:firstLine="420" w:firstLineChars="200"/>
        <w:rPr>
          <w:rFonts w:hint="eastAsia"/>
          <w:highlight w:val="none"/>
        </w:rPr>
      </w:pPr>
      <w:r>
        <w:rPr>
          <w:rFonts w:hint="eastAsia" w:ascii="宋体" w:hAnsi="宋体" w:eastAsia="宋体" w:cs="宋体"/>
          <w:lang w:val="en-US" w:eastAsia="zh-CN"/>
        </w:rPr>
        <w:t>建设单位已经在东联码头区域为中海壳牌新建停车场一个。根据中海壳牌行政安保（CSAS）的要求，需为该停车场建设一套车道闸，投标方负责提供硬件与施工，并负责将该车道闸的控制信号引入东联一道门保安门岗。车道闸的具体型号由CSAS确定</w:t>
      </w:r>
      <w:r>
        <w:rPr>
          <w:highlight w:val="none"/>
        </w:rPr>
        <w:t>。</w:t>
      </w:r>
    </w:p>
    <w:p>
      <w:pPr>
        <w:pStyle w:val="4"/>
        <w:numPr>
          <w:ilvl w:val="2"/>
          <w:numId w:val="3"/>
        </w:numPr>
        <w:bidi w:val="0"/>
        <w:ind w:left="709" w:leftChars="0" w:hanging="709" w:firstLineChars="0"/>
        <w:rPr>
          <w:rFonts w:hint="eastAsia"/>
        </w:rPr>
      </w:pPr>
      <w:bookmarkStart w:id="117" w:name="_Toc9390"/>
      <w:r>
        <w:rPr>
          <w:rFonts w:hint="eastAsia"/>
          <w:lang w:val="en-US" w:eastAsia="zh-CN"/>
        </w:rPr>
        <w:t>设备清单（配合现场实际情况，具体数量以工程量清单为准）</w:t>
      </w:r>
      <w:bookmarkEnd w:id="117"/>
    </w:p>
    <w:tbl>
      <w:tblPr>
        <w:tblStyle w:val="15"/>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56"/>
        <w:gridCol w:w="3310"/>
        <w:gridCol w:w="1465"/>
        <w:gridCol w:w="1567"/>
        <w:gridCol w:w="15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73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 号</w:t>
            </w:r>
          </w:p>
        </w:tc>
        <w:tc>
          <w:tcPr>
            <w:tcW w:w="178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 称</w:t>
            </w:r>
          </w:p>
        </w:tc>
        <w:tc>
          <w:tcPr>
            <w:tcW w:w="78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8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85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73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w:t>
            </w:r>
          </w:p>
        </w:tc>
        <w:tc>
          <w:tcPr>
            <w:tcW w:w="178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车道闸（道闸、杆，抓拍显示补光一体机；控制器、防砸雷达、减速带、安全岛、遥控器等）采购、安装、调试服务</w:t>
            </w:r>
          </w:p>
        </w:tc>
        <w:tc>
          <w:tcPr>
            <w:tcW w:w="78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5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jc w:val="center"/>
        </w:trPr>
        <w:tc>
          <w:tcPr>
            <w:tcW w:w="73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p>
        </w:tc>
        <w:tc>
          <w:tcPr>
            <w:tcW w:w="178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岗亭值守终端工作站采购、安装、调试服务</w:t>
            </w:r>
          </w:p>
        </w:tc>
        <w:tc>
          <w:tcPr>
            <w:tcW w:w="78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5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jc w:val="center"/>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contextualSpacing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sz w:val="21"/>
                <w:szCs w:val="21"/>
                <w:highlight w:val="none"/>
              </w:rPr>
              <w:t>备注：具体技术参数请参考“7.硬件要求”及附件《</w:t>
            </w:r>
            <w:r>
              <w:rPr>
                <w:rFonts w:hint="eastAsia" w:cs="宋体"/>
                <w:sz w:val="21"/>
                <w:szCs w:val="21"/>
                <w:highlight w:val="none"/>
                <w:lang w:eastAsia="zh-CN"/>
              </w:rPr>
              <w:t>中海壳牌聚碳项目智慧工地清单</w:t>
            </w:r>
            <w:r>
              <w:rPr>
                <w:rFonts w:hint="eastAsia" w:ascii="Times New Roman" w:hAnsi="Times New Roman" w:eastAsia="宋体" w:cs="宋体"/>
                <w:sz w:val="21"/>
                <w:szCs w:val="21"/>
                <w:highlight w:val="none"/>
              </w:rPr>
              <w:t>》。</w:t>
            </w:r>
          </w:p>
        </w:tc>
      </w:tr>
    </w:tbl>
    <w:p>
      <w:pPr>
        <w:spacing w:line="240" w:lineRule="auto"/>
        <w:ind w:firstLine="0" w:firstLineChars="0"/>
        <w:rPr>
          <w:rFonts w:hint="eastAsia"/>
          <w:highlight w:val="none"/>
        </w:rPr>
      </w:pPr>
    </w:p>
    <w:p>
      <w:pPr>
        <w:pStyle w:val="2"/>
        <w:bidi w:val="0"/>
        <w:rPr>
          <w:rFonts w:hint="eastAsia"/>
        </w:rPr>
      </w:pPr>
      <w:r>
        <w:rPr>
          <w:rFonts w:hint="eastAsia"/>
          <w:lang w:val="en-US" w:eastAsia="zh-CN"/>
        </w:rPr>
        <w:t xml:space="preserve"> </w:t>
      </w:r>
      <w:bookmarkStart w:id="118" w:name="_Toc7492"/>
      <w:r>
        <w:rPr>
          <w:rFonts w:hint="eastAsia"/>
          <w:lang w:val="en-US"/>
        </w:rPr>
        <w:t>视频</w:t>
      </w:r>
      <w:r>
        <w:rPr>
          <w:rFonts w:hint="eastAsia"/>
        </w:rPr>
        <w:t>监控系统</w:t>
      </w:r>
      <w:bookmarkEnd w:id="118"/>
    </w:p>
    <w:p>
      <w:pPr>
        <w:pStyle w:val="4"/>
        <w:numPr>
          <w:ilvl w:val="2"/>
          <w:numId w:val="4"/>
        </w:numPr>
        <w:bidi w:val="0"/>
        <w:ind w:left="709" w:leftChars="0" w:hanging="709" w:firstLineChars="0"/>
        <w:rPr>
          <w:rFonts w:hint="eastAsia"/>
          <w:highlight w:val="none"/>
          <w:lang w:val="en-US" w:eastAsia="zh-CN"/>
        </w:rPr>
      </w:pPr>
      <w:bookmarkStart w:id="119" w:name="_Toc17090"/>
      <w:r>
        <w:rPr>
          <w:rFonts w:hint="eastAsia"/>
          <w:highlight w:val="none"/>
          <w:lang w:val="en-US" w:eastAsia="zh-CN"/>
        </w:rPr>
        <w:t>概述</w:t>
      </w:r>
      <w:bookmarkEnd w:id="119"/>
    </w:p>
    <w:p>
      <w:pPr>
        <w:pStyle w:val="8"/>
        <w:spacing w:before="1" w:line="364" w:lineRule="auto"/>
        <w:ind w:right="353"/>
        <w:rPr>
          <w:rFonts w:hint="eastAsia"/>
          <w:highlight w:val="none"/>
          <w:lang w:val="en-US" w:eastAsia="zh-CN"/>
        </w:rPr>
      </w:pPr>
      <w:r>
        <w:rPr>
          <w:rFonts w:hint="eastAsia"/>
          <w:highlight w:val="none"/>
        </w:rPr>
        <w:t>本项目拟</w:t>
      </w:r>
      <w:r>
        <w:rPr>
          <w:highlight w:val="none"/>
        </w:rPr>
        <w:t>建设视频监控系统，要求现场摄像头获取的视频可通过网络</w:t>
      </w:r>
      <w:r>
        <w:rPr>
          <w:spacing w:val="4"/>
          <w:highlight w:val="none"/>
        </w:rPr>
        <w:t>（</w:t>
      </w:r>
      <w:r>
        <w:rPr>
          <w:highlight w:val="none"/>
        </w:rPr>
        <w:t>有线或无线）最终传输至智慧工地中心控制室机房，监控中心设置磁盘阵列存储服务器，监控录像均汇集到视频监控存储服务器进行存储，视频监控存</w:t>
      </w:r>
      <w:r>
        <w:rPr>
          <w:spacing w:val="-9"/>
          <w:highlight w:val="none"/>
        </w:rPr>
        <w:t xml:space="preserve">储服务器满足 </w:t>
      </w:r>
      <w:r>
        <w:rPr>
          <w:rFonts w:eastAsia="Times New Roman"/>
          <w:highlight w:val="none"/>
        </w:rPr>
        <w:t xml:space="preserve">30 </w:t>
      </w:r>
      <w:r>
        <w:rPr>
          <w:spacing w:val="-2"/>
          <w:highlight w:val="none"/>
        </w:rPr>
        <w:t>天录像存储的要求。智慧工地中心控制室设有若干视频监控工</w:t>
      </w:r>
      <w:r>
        <w:rPr>
          <w:highlight w:val="none"/>
        </w:rPr>
        <w:t>位和摄像头控制云台。有防入侵报警功能摄像头的报警视频和信息在智慧工地主页显示。有权限的用户可以在智慧工地管理平台随时调阅视频资料或实时查看任意在线摄像头监控画面。</w:t>
      </w:r>
      <w:r>
        <w:rPr>
          <w:rFonts w:hint="eastAsia"/>
          <w:highlight w:val="none"/>
          <w:lang w:val="en-US" w:eastAsia="zh-CN"/>
        </w:rPr>
        <w:t>建设单位</w:t>
      </w:r>
      <w:r>
        <w:rPr>
          <w:rFonts w:hint="eastAsia"/>
          <w:highlight w:val="none"/>
        </w:rPr>
        <w:t>已在聚碳项目1号门、西门、2号门、周界等共计设置了17台摄像头，</w:t>
      </w:r>
      <w:r>
        <w:rPr>
          <w:rFonts w:hint="eastAsia"/>
          <w:highlight w:val="none"/>
          <w:lang w:val="en-US" w:eastAsia="zh-CN"/>
        </w:rPr>
        <w:t>投标</w:t>
      </w:r>
      <w:r>
        <w:rPr>
          <w:rFonts w:hint="eastAsia"/>
          <w:highlight w:val="none"/>
        </w:rPr>
        <w:t>方在设计视频监控系统时，应将此17台摄像头的画面纳入智慧工地平台</w:t>
      </w:r>
      <w:r>
        <w:rPr>
          <w:rFonts w:hint="eastAsia"/>
          <w:highlight w:val="none"/>
          <w:lang w:val="en-US" w:eastAsia="zh-CN"/>
        </w:rPr>
        <w:t>。</w:t>
      </w:r>
    </w:p>
    <w:p>
      <w:pPr>
        <w:pStyle w:val="8"/>
        <w:spacing w:line="360" w:lineRule="auto"/>
        <w:ind w:left="0" w:firstLine="420" w:firstLineChars="200"/>
        <w:rPr>
          <w:rFonts w:ascii="宋体" w:hAnsi="宋体" w:eastAsia="宋体" w:cs="宋体"/>
        </w:rPr>
      </w:pPr>
      <w:r>
        <w:rPr>
          <w:rFonts w:hint="eastAsia" w:ascii="宋体" w:hAnsi="宋体" w:eastAsia="宋体" w:cs="宋体"/>
          <w:lang w:val="en-US" w:eastAsia="zh-CN"/>
        </w:rPr>
        <w:t>投标方</w:t>
      </w:r>
      <w:r>
        <w:rPr>
          <w:rFonts w:hint="eastAsia" w:ascii="宋体" w:hAnsi="宋体" w:eastAsia="宋体" w:cs="宋体"/>
        </w:rPr>
        <w:t>为智慧工地所安装的视频监控系统的存储服务器及存储硬盘，按照</w:t>
      </w:r>
      <w:r>
        <w:rPr>
          <w:rFonts w:hint="eastAsia" w:ascii="宋体" w:hAnsi="宋体" w:eastAsia="宋体" w:cs="宋体"/>
          <w:lang w:val="en-US" w:eastAsia="zh-CN"/>
        </w:rPr>
        <w:t>建设单位</w:t>
      </w:r>
      <w:r>
        <w:rPr>
          <w:rFonts w:hint="eastAsia" w:ascii="宋体" w:hAnsi="宋体" w:eastAsia="宋体" w:cs="宋体"/>
        </w:rPr>
        <w:t>与中海壳牌的实际需求，部分或全部交由生产利旧。</w:t>
      </w:r>
    </w:p>
    <w:p>
      <w:pPr>
        <w:numPr>
          <w:ilvl w:val="0"/>
          <w:numId w:val="0"/>
        </w:numPr>
        <w:tabs>
          <w:tab w:val="left" w:pos="0"/>
        </w:tabs>
        <w:bidi w:val="0"/>
        <w:ind w:leftChars="0"/>
        <w:outlineLvl w:val="9"/>
        <w:rPr>
          <w:rFonts w:hint="eastAsia"/>
          <w:highlight w:val="none"/>
          <w:lang w:val="en-US" w:eastAsia="zh-CN"/>
        </w:rPr>
      </w:pPr>
      <w:r>
        <w:rPr>
          <w:rFonts w:hint="eastAsia"/>
          <w:highlight w:val="none"/>
          <w:lang w:val="en-US" w:eastAsia="zh-CN"/>
        </w:rPr>
        <w:t>（1）围网视频监控</w:t>
      </w:r>
    </w:p>
    <w:p>
      <w:pPr>
        <w:pStyle w:val="8"/>
        <w:autoSpaceDE w:val="0"/>
        <w:autoSpaceDN w:val="0"/>
        <w:spacing w:line="360" w:lineRule="auto"/>
        <w:ind w:left="0" w:firstLine="420" w:firstLineChars="200"/>
        <w:rPr>
          <w:rFonts w:ascii="宋体" w:hAnsi="宋体" w:eastAsia="宋体" w:cs="宋体"/>
        </w:rPr>
      </w:pPr>
      <w:r>
        <w:rPr>
          <w:rFonts w:hint="eastAsia" w:ascii="宋体" w:hAnsi="宋体" w:eastAsia="宋体" w:cs="宋体"/>
        </w:rPr>
        <w:t>沿项目</w:t>
      </w:r>
      <w:r>
        <w:rPr>
          <w:rFonts w:hint="eastAsia" w:ascii="宋体" w:hAnsi="宋体" w:eastAsia="宋体" w:cs="宋体"/>
          <w:spacing w:val="-2"/>
        </w:rPr>
        <w:t>围墙</w:t>
      </w:r>
      <w:r>
        <w:rPr>
          <w:rFonts w:hint="eastAsia" w:ascii="宋体" w:hAnsi="宋体" w:eastAsia="宋体" w:cs="宋体"/>
        </w:rPr>
        <w:t>内侧1米处设置周界监控摄像机，</w:t>
      </w:r>
      <w:r>
        <w:rPr>
          <w:rFonts w:hint="eastAsia" w:ascii="宋体" w:hAnsi="宋体" w:eastAsia="宋体" w:cs="宋体"/>
          <w:lang w:val="en-US" w:eastAsia="zh-CN"/>
        </w:rPr>
        <w:t>预估数量共12台</w:t>
      </w:r>
      <w:r>
        <w:rPr>
          <w:rFonts w:hint="eastAsia" w:ascii="宋体" w:hAnsi="宋体" w:eastAsia="宋体" w:cs="宋体"/>
        </w:rPr>
        <w:t>，摄像机安装位置根据现场实际情况适当调整。摄像机安装在成套立杆上，</w:t>
      </w:r>
      <w:r>
        <w:rPr>
          <w:rFonts w:hint="eastAsia" w:ascii="宋体" w:hAnsi="宋体" w:eastAsia="宋体" w:cs="宋体"/>
          <w:spacing w:val="-15"/>
        </w:rPr>
        <w:t>距地面</w:t>
      </w:r>
      <w:r>
        <w:rPr>
          <w:rFonts w:hint="eastAsia" w:ascii="宋体" w:hAnsi="宋体" w:eastAsia="宋体" w:cs="宋体"/>
        </w:rPr>
        <w:t xml:space="preserve">6.5 </w:t>
      </w:r>
      <w:r>
        <w:rPr>
          <w:rFonts w:hint="eastAsia" w:ascii="宋体" w:hAnsi="宋体" w:eastAsia="宋体" w:cs="宋体"/>
          <w:spacing w:val="-7"/>
        </w:rPr>
        <w:t>米，设备箱距地面</w:t>
      </w:r>
      <w:r>
        <w:rPr>
          <w:rFonts w:hint="eastAsia" w:ascii="宋体" w:hAnsi="宋体" w:eastAsia="宋体" w:cs="宋体"/>
        </w:rPr>
        <w:t>1.5</w:t>
      </w:r>
      <w:r>
        <w:rPr>
          <w:rFonts w:hint="eastAsia" w:ascii="宋体" w:hAnsi="宋体" w:eastAsia="宋体" w:cs="宋体"/>
          <w:spacing w:val="-1"/>
        </w:rPr>
        <w:t>米安装。摄像机采用高清枪球一体智能摄像机，</w:t>
      </w:r>
      <w:r>
        <w:rPr>
          <w:rFonts w:hint="eastAsia" w:ascii="宋体" w:hAnsi="宋体" w:eastAsia="宋体" w:cs="宋体"/>
        </w:rPr>
        <w:t>具备对象分析、行为分析等智能分析功能，精准实现防入侵报警，对非法闯入人员进行告警。</w:t>
      </w:r>
    </w:p>
    <w:p>
      <w:pPr>
        <w:pStyle w:val="8"/>
        <w:autoSpaceDE w:val="0"/>
        <w:autoSpaceDN w:val="0"/>
        <w:spacing w:line="360" w:lineRule="auto"/>
        <w:ind w:left="0" w:firstLine="422" w:firstLineChars="200"/>
        <w:rPr>
          <w:rFonts w:ascii="宋体" w:hAnsi="宋体" w:eastAsia="宋体" w:cs="宋体"/>
        </w:rPr>
      </w:pPr>
      <w:r>
        <w:rPr>
          <w:rFonts w:hint="eastAsia" w:ascii="宋体" w:hAnsi="宋体" w:eastAsia="宋体" w:cs="宋体"/>
          <w:b/>
        </w:rPr>
        <w:t>网络：</w:t>
      </w:r>
      <w:r>
        <w:rPr>
          <w:rFonts w:hint="eastAsia" w:ascii="宋体" w:hAnsi="宋体" w:eastAsia="宋体" w:cs="宋体"/>
        </w:rPr>
        <w:t>周界各摄像机点位通过有线或5G专网汇集传输至控制中心。</w:t>
      </w:r>
    </w:p>
    <w:p>
      <w:pPr>
        <w:pStyle w:val="8"/>
        <w:autoSpaceDE w:val="0"/>
        <w:autoSpaceDN w:val="0"/>
        <w:spacing w:line="360" w:lineRule="auto"/>
        <w:ind w:left="0" w:firstLine="422" w:firstLineChars="200"/>
        <w:rPr>
          <w:rFonts w:ascii="宋体" w:hAnsi="宋体" w:eastAsia="宋体" w:cs="宋体"/>
        </w:rPr>
      </w:pPr>
      <w:r>
        <w:rPr>
          <w:rFonts w:hint="eastAsia" w:ascii="宋体" w:hAnsi="宋体" w:eastAsia="宋体" w:cs="宋体"/>
          <w:b/>
        </w:rPr>
        <w:t>电源：</w:t>
      </w:r>
      <w:r>
        <w:rPr>
          <w:rFonts w:hint="eastAsia" w:ascii="宋体" w:hAnsi="宋体" w:eastAsia="宋体" w:cs="宋体"/>
        </w:rPr>
        <w:t>周界各摄像机点位的电源通过铠装电缆先连接至各门岗，由各门岗统一供电，门岗用电考虑接项目临时用电。</w:t>
      </w:r>
    </w:p>
    <w:p>
      <w:pPr>
        <w:rPr>
          <w:rFonts w:hint="eastAsia" w:ascii="宋体" w:hAnsi="宋体" w:eastAsia="宋体" w:cs="宋体"/>
        </w:rPr>
      </w:pPr>
      <w:r>
        <w:rPr>
          <w:rFonts w:hint="eastAsia" w:ascii="宋体" w:hAnsi="宋体" w:eastAsia="宋体" w:cs="宋体"/>
        </w:rPr>
        <w:t>各地块配置数量详见下表</w:t>
      </w:r>
      <w:r>
        <w:rPr>
          <w:rFonts w:hint="eastAsia" w:ascii="宋体" w:hAnsi="宋体" w:eastAsia="宋体" w:cs="宋体"/>
          <w:lang w:eastAsia="zh-CN"/>
        </w:rPr>
        <w:t>，</w:t>
      </w:r>
      <w:r>
        <w:rPr>
          <w:rFonts w:hint="eastAsia" w:ascii="宋体" w:hAnsi="宋体" w:eastAsia="宋体" w:cs="宋体"/>
        </w:rPr>
        <w:t>具体的布设数量及位置</w:t>
      </w:r>
      <w:r>
        <w:rPr>
          <w:rFonts w:hint="eastAsia" w:ascii="宋体" w:hAnsi="宋体" w:eastAsia="宋体" w:cs="宋体"/>
          <w:lang w:eastAsia="zh-CN"/>
        </w:rPr>
        <w:t>投标方</w:t>
      </w:r>
      <w:r>
        <w:rPr>
          <w:rFonts w:hint="eastAsia" w:ascii="宋体" w:hAnsi="宋体" w:eastAsia="宋体" w:cs="宋体"/>
        </w:rPr>
        <w:t>进行设计优化，经</w:t>
      </w:r>
      <w:r>
        <w:rPr>
          <w:rFonts w:hint="eastAsia" w:ascii="宋体" w:hAnsi="宋体" w:eastAsia="宋体" w:cs="宋体"/>
          <w:lang w:val="en-US" w:eastAsia="zh-CN"/>
        </w:rPr>
        <w:t>建设单位</w:t>
      </w:r>
      <w:r>
        <w:rPr>
          <w:rFonts w:hint="eastAsia" w:ascii="宋体" w:hAnsi="宋体" w:eastAsia="宋体" w:cs="宋体"/>
        </w:rPr>
        <w:t>同意后实施。</w:t>
      </w:r>
    </w:p>
    <w:tbl>
      <w:tblPr>
        <w:tblStyle w:val="15"/>
        <w:tblW w:w="82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6"/>
        <w:gridCol w:w="1589"/>
        <w:gridCol w:w="1031"/>
        <w:gridCol w:w="2431"/>
        <w:gridCol w:w="23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796" w:type="dxa"/>
          </w:tcPr>
          <w:p>
            <w:pPr>
              <w:pStyle w:val="27"/>
              <w:spacing w:before="81"/>
              <w:ind w:left="166" w:right="159"/>
              <w:rPr>
                <w:rFonts w:ascii="宋体" w:hAnsi="宋体" w:eastAsia="宋体" w:cs="宋体"/>
                <w:b/>
                <w:sz w:val="18"/>
                <w:szCs w:val="18"/>
              </w:rPr>
            </w:pPr>
            <w:r>
              <w:rPr>
                <w:rFonts w:hint="eastAsia" w:ascii="宋体" w:hAnsi="宋体" w:eastAsia="宋体" w:cs="宋体"/>
                <w:b/>
                <w:sz w:val="18"/>
                <w:szCs w:val="18"/>
              </w:rPr>
              <w:t>序号</w:t>
            </w:r>
          </w:p>
        </w:tc>
        <w:tc>
          <w:tcPr>
            <w:tcW w:w="1589" w:type="dxa"/>
          </w:tcPr>
          <w:p>
            <w:pPr>
              <w:pStyle w:val="27"/>
              <w:spacing w:before="81"/>
              <w:ind w:left="339" w:right="333"/>
              <w:rPr>
                <w:rFonts w:ascii="宋体" w:hAnsi="宋体" w:eastAsia="宋体" w:cs="宋体"/>
                <w:b/>
                <w:sz w:val="18"/>
                <w:szCs w:val="18"/>
              </w:rPr>
            </w:pPr>
            <w:r>
              <w:rPr>
                <w:rFonts w:hint="eastAsia" w:ascii="宋体" w:hAnsi="宋体" w:eastAsia="宋体" w:cs="宋体"/>
                <w:b/>
                <w:sz w:val="18"/>
                <w:szCs w:val="18"/>
              </w:rPr>
              <w:t>区域</w:t>
            </w:r>
          </w:p>
        </w:tc>
        <w:tc>
          <w:tcPr>
            <w:tcW w:w="1031" w:type="dxa"/>
          </w:tcPr>
          <w:p>
            <w:pPr>
              <w:pStyle w:val="27"/>
              <w:spacing w:before="81"/>
              <w:rPr>
                <w:rFonts w:ascii="宋体" w:hAnsi="宋体" w:eastAsia="宋体" w:cs="宋体"/>
                <w:b/>
                <w:sz w:val="18"/>
                <w:szCs w:val="18"/>
              </w:rPr>
            </w:pPr>
            <w:r>
              <w:rPr>
                <w:rFonts w:hint="eastAsia" w:ascii="宋体" w:hAnsi="宋体" w:eastAsia="宋体" w:cs="宋体"/>
                <w:b/>
                <w:sz w:val="18"/>
                <w:szCs w:val="18"/>
              </w:rPr>
              <w:t>数量</w:t>
            </w:r>
          </w:p>
        </w:tc>
        <w:tc>
          <w:tcPr>
            <w:tcW w:w="2431" w:type="dxa"/>
          </w:tcPr>
          <w:p>
            <w:pPr>
              <w:pStyle w:val="27"/>
              <w:spacing w:before="81"/>
              <w:ind w:left="984" w:right="977"/>
              <w:rPr>
                <w:rFonts w:ascii="宋体" w:hAnsi="宋体" w:eastAsia="宋体" w:cs="宋体"/>
                <w:b/>
                <w:sz w:val="18"/>
                <w:szCs w:val="18"/>
              </w:rPr>
            </w:pPr>
            <w:r>
              <w:rPr>
                <w:rFonts w:hint="eastAsia" w:ascii="宋体" w:hAnsi="宋体" w:eastAsia="宋体" w:cs="宋体"/>
                <w:b/>
                <w:sz w:val="18"/>
                <w:szCs w:val="18"/>
              </w:rPr>
              <w:t>配置</w:t>
            </w:r>
          </w:p>
        </w:tc>
        <w:tc>
          <w:tcPr>
            <w:tcW w:w="2369" w:type="dxa"/>
          </w:tcPr>
          <w:p>
            <w:pPr>
              <w:pStyle w:val="27"/>
              <w:spacing w:before="81"/>
              <w:ind w:left="763"/>
              <w:jc w:val="left"/>
              <w:rPr>
                <w:rFonts w:ascii="宋体" w:hAnsi="宋体" w:eastAsia="宋体" w:cs="宋体"/>
                <w:b/>
                <w:sz w:val="18"/>
                <w:szCs w:val="18"/>
              </w:rPr>
            </w:pPr>
            <w:r>
              <w:rPr>
                <w:rFonts w:hint="eastAsia" w:ascii="宋体" w:hAnsi="宋体" w:eastAsia="宋体" w:cs="宋体"/>
                <w:b/>
                <w:sz w:val="18"/>
                <w:szCs w:val="18"/>
              </w:rPr>
              <w:t>安装要求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796" w:type="dxa"/>
            <w:vAlign w:val="center"/>
          </w:tcPr>
          <w:p>
            <w:pPr>
              <w:pStyle w:val="27"/>
              <w:spacing w:before="80"/>
              <w:ind w:left="9"/>
              <w:jc w:val="center"/>
              <w:rPr>
                <w:rFonts w:ascii="宋体" w:hAnsi="宋体" w:eastAsia="宋体" w:cs="宋体"/>
                <w:sz w:val="18"/>
                <w:szCs w:val="18"/>
              </w:rPr>
            </w:pPr>
            <w:r>
              <w:rPr>
                <w:rFonts w:hint="eastAsia" w:ascii="宋体" w:hAnsi="宋体" w:eastAsia="宋体" w:cs="宋体"/>
                <w:w w:val="99"/>
                <w:sz w:val="18"/>
                <w:szCs w:val="18"/>
              </w:rPr>
              <w:t>1</w:t>
            </w:r>
          </w:p>
        </w:tc>
        <w:tc>
          <w:tcPr>
            <w:tcW w:w="1589" w:type="dxa"/>
            <w:vAlign w:val="center"/>
          </w:tcPr>
          <w:p>
            <w:pPr>
              <w:pStyle w:val="27"/>
              <w:spacing w:before="8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C1完全绿区</w:t>
            </w:r>
          </w:p>
        </w:tc>
        <w:tc>
          <w:tcPr>
            <w:tcW w:w="1031" w:type="dxa"/>
            <w:vAlign w:val="center"/>
          </w:tcPr>
          <w:p>
            <w:pPr>
              <w:pStyle w:val="27"/>
              <w:spacing w:before="80"/>
              <w:jc w:val="center"/>
              <w:rPr>
                <w:rFonts w:ascii="宋体" w:hAnsi="宋体" w:eastAsia="宋体" w:cs="宋体"/>
                <w:sz w:val="18"/>
                <w:szCs w:val="18"/>
              </w:rPr>
            </w:pPr>
            <w:r>
              <w:rPr>
                <w:rFonts w:hint="eastAsia" w:ascii="宋体" w:hAnsi="宋体" w:eastAsia="宋体" w:cs="宋体"/>
                <w:sz w:val="18"/>
                <w:szCs w:val="18"/>
              </w:rPr>
              <w:t>12</w:t>
            </w:r>
          </w:p>
        </w:tc>
        <w:tc>
          <w:tcPr>
            <w:tcW w:w="2431" w:type="dxa"/>
            <w:vAlign w:val="center"/>
          </w:tcPr>
          <w:p>
            <w:pPr>
              <w:pStyle w:val="27"/>
              <w:ind w:left="292"/>
              <w:jc w:val="center"/>
              <w:rPr>
                <w:rFonts w:ascii="宋体" w:hAnsi="宋体" w:eastAsia="宋体" w:cs="宋体"/>
                <w:sz w:val="18"/>
                <w:szCs w:val="18"/>
              </w:rPr>
            </w:pPr>
            <w:r>
              <w:rPr>
                <w:rFonts w:hint="eastAsia" w:ascii="宋体" w:hAnsi="宋体" w:eastAsia="宋体" w:cs="宋体"/>
                <w:sz w:val="18"/>
                <w:szCs w:val="18"/>
              </w:rPr>
              <w:t>400 万高清枪球一体</w:t>
            </w:r>
          </w:p>
        </w:tc>
        <w:tc>
          <w:tcPr>
            <w:tcW w:w="2369" w:type="dxa"/>
            <w:vAlign w:val="center"/>
          </w:tcPr>
          <w:p>
            <w:pPr>
              <w:pStyle w:val="27"/>
              <w:ind w:left="427"/>
              <w:jc w:val="center"/>
              <w:rPr>
                <w:rFonts w:ascii="宋体" w:hAnsi="宋体" w:eastAsia="宋体" w:cs="宋体"/>
                <w:sz w:val="18"/>
                <w:szCs w:val="18"/>
              </w:rPr>
            </w:pPr>
            <w:r>
              <w:rPr>
                <w:rFonts w:hint="eastAsia" w:ascii="宋体" w:hAnsi="宋体" w:eastAsia="宋体" w:cs="宋体"/>
                <w:sz w:val="18"/>
                <w:szCs w:val="18"/>
              </w:rPr>
              <w:t>安装高度 6.5m/1.5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85" w:type="dxa"/>
            <w:gridSpan w:val="2"/>
          </w:tcPr>
          <w:p>
            <w:pPr>
              <w:pStyle w:val="27"/>
              <w:spacing w:before="117"/>
              <w:ind w:left="778" w:right="773"/>
              <w:rPr>
                <w:rFonts w:ascii="宋体" w:hAnsi="宋体" w:eastAsia="宋体" w:cs="宋体"/>
                <w:b/>
                <w:sz w:val="18"/>
                <w:szCs w:val="18"/>
              </w:rPr>
            </w:pPr>
            <w:r>
              <w:rPr>
                <w:rFonts w:hint="eastAsia" w:ascii="宋体" w:hAnsi="宋体" w:eastAsia="宋体" w:cs="宋体"/>
                <w:b/>
                <w:sz w:val="18"/>
                <w:szCs w:val="18"/>
              </w:rPr>
              <w:t>合计</w:t>
            </w:r>
          </w:p>
        </w:tc>
        <w:tc>
          <w:tcPr>
            <w:tcW w:w="1031" w:type="dxa"/>
          </w:tcPr>
          <w:p>
            <w:pPr>
              <w:pStyle w:val="27"/>
              <w:spacing w:before="117"/>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12</w:t>
            </w:r>
          </w:p>
        </w:tc>
        <w:tc>
          <w:tcPr>
            <w:tcW w:w="2431" w:type="dxa"/>
          </w:tcPr>
          <w:p>
            <w:pPr>
              <w:pStyle w:val="27"/>
              <w:jc w:val="left"/>
              <w:rPr>
                <w:rFonts w:ascii="宋体" w:hAnsi="宋体" w:eastAsia="宋体" w:cs="宋体"/>
                <w:sz w:val="18"/>
                <w:szCs w:val="18"/>
              </w:rPr>
            </w:pPr>
          </w:p>
        </w:tc>
        <w:tc>
          <w:tcPr>
            <w:tcW w:w="2369" w:type="dxa"/>
          </w:tcPr>
          <w:p>
            <w:pPr>
              <w:pStyle w:val="27"/>
              <w:jc w:val="left"/>
              <w:rPr>
                <w:rFonts w:ascii="宋体" w:hAnsi="宋体" w:eastAsia="宋体" w:cs="宋体"/>
                <w:sz w:val="18"/>
                <w:szCs w:val="18"/>
              </w:rPr>
            </w:pPr>
          </w:p>
        </w:tc>
      </w:tr>
    </w:tbl>
    <w:p>
      <w:pPr>
        <w:pStyle w:val="8"/>
        <w:spacing w:line="360" w:lineRule="auto"/>
        <w:ind w:left="0" w:leftChars="0" w:firstLine="0" w:firstLineChars="0"/>
        <w:rPr>
          <w:rFonts w:ascii="宋体" w:hAnsi="宋体" w:eastAsia="宋体" w:cs="宋体"/>
        </w:rPr>
      </w:pPr>
      <w:r>
        <w:rPr>
          <w:rFonts w:hint="eastAsia" w:ascii="宋体" w:hAnsi="宋体" w:eastAsia="宋体" w:cs="宋体"/>
        </w:rPr>
        <w:t>（</w:t>
      </w:r>
      <w:r>
        <w:rPr>
          <w:rFonts w:hint="eastAsia" w:ascii="宋体" w:hAnsi="宋体" w:cs="宋体"/>
          <w:lang w:val="en-US" w:eastAsia="zh-CN"/>
        </w:rPr>
        <w:t>2</w:t>
      </w:r>
      <w:r>
        <w:rPr>
          <w:rFonts w:hint="eastAsia" w:ascii="宋体" w:hAnsi="宋体" w:eastAsia="宋体" w:cs="宋体"/>
        </w:rPr>
        <w:t>）承包商视频接入</w:t>
      </w:r>
    </w:p>
    <w:p>
      <w:pPr>
        <w:pStyle w:val="8"/>
        <w:autoSpaceDE w:val="0"/>
        <w:autoSpaceDN w:val="0"/>
        <w:spacing w:line="360" w:lineRule="auto"/>
        <w:ind w:left="0" w:firstLine="420" w:firstLineChars="200"/>
        <w:rPr>
          <w:rFonts w:ascii="宋体" w:hAnsi="宋体" w:eastAsia="宋体" w:cs="宋体"/>
          <w:bCs/>
        </w:rPr>
      </w:pPr>
      <w:r>
        <w:rPr>
          <w:rFonts w:hint="eastAsia" w:ascii="宋体" w:hAnsi="宋体" w:eastAsia="宋体" w:cs="宋体"/>
          <w:bCs/>
        </w:rPr>
        <w:t>如果承包商自行安装相关监控设备，并且设备型号、技术规格等符合接入智慧工地的条件，如</w:t>
      </w:r>
      <w:r>
        <w:rPr>
          <w:rFonts w:hint="eastAsia" w:ascii="宋体" w:hAnsi="宋体" w:eastAsia="宋体" w:cs="宋体"/>
          <w:bCs/>
          <w:lang w:val="en-US" w:eastAsia="zh-CN"/>
        </w:rPr>
        <w:t>招标方</w:t>
      </w:r>
      <w:r>
        <w:rPr>
          <w:rFonts w:hint="eastAsia" w:ascii="宋体" w:hAnsi="宋体" w:eastAsia="宋体" w:cs="宋体"/>
          <w:bCs/>
        </w:rPr>
        <w:t>方要求接入智慧工地平台，</w:t>
      </w:r>
      <w:r>
        <w:rPr>
          <w:rFonts w:hint="eastAsia" w:ascii="宋体" w:hAnsi="宋体" w:eastAsia="宋体" w:cs="宋体"/>
          <w:bCs/>
          <w:lang w:val="en-US" w:eastAsia="zh-CN"/>
        </w:rPr>
        <w:t>投标方提供技术支持与配合</w:t>
      </w:r>
      <w:r>
        <w:rPr>
          <w:rFonts w:hint="eastAsia" w:ascii="宋体" w:hAnsi="宋体" w:eastAsia="宋体" w:cs="宋体"/>
          <w:bCs/>
        </w:rPr>
        <w:t>。</w:t>
      </w:r>
    </w:p>
    <w:p>
      <w:pPr>
        <w:numPr>
          <w:ilvl w:val="0"/>
          <w:numId w:val="0"/>
        </w:numPr>
        <w:tabs>
          <w:tab w:val="left" w:pos="0"/>
        </w:tabs>
        <w:bidi w:val="0"/>
        <w:ind w:leftChars="0"/>
        <w:outlineLvl w:val="9"/>
        <w:rPr>
          <w:rFonts w:hint="default" w:eastAsia="宋体"/>
          <w:highlight w:val="none"/>
          <w:lang w:val="en-US" w:eastAsia="zh-CN"/>
        </w:rPr>
      </w:pPr>
      <w:r>
        <w:rPr>
          <w:rFonts w:hint="eastAsia" w:ascii="宋体" w:hAnsi="宋体" w:eastAsia="宋体" w:cs="宋体"/>
          <w:highlight w:val="none"/>
          <w:lang w:val="en-US" w:eastAsia="zh-CN"/>
        </w:rPr>
        <w:t>（</w:t>
      </w:r>
      <w:r>
        <w:rPr>
          <w:rFonts w:hint="eastAsia" w:ascii="宋体" w:hAnsi="宋体" w:cs="宋体"/>
          <w:highlight w:val="none"/>
          <w:lang w:val="en-US" w:eastAsia="zh-CN"/>
        </w:rPr>
        <w:t>3</w:t>
      </w:r>
      <w:r>
        <w:rPr>
          <w:rFonts w:hint="eastAsia" w:ascii="宋体" w:hAnsi="宋体" w:eastAsia="宋体" w:cs="宋体"/>
          <w:highlight w:val="none"/>
          <w:lang w:val="en-US" w:eastAsia="zh-CN"/>
        </w:rPr>
        <w:t>）</w:t>
      </w:r>
      <w:r>
        <w:rPr>
          <w:rFonts w:hint="eastAsia"/>
          <w:highlight w:val="none"/>
          <w:lang w:val="en-US" w:eastAsia="zh-CN"/>
        </w:rPr>
        <w:t>特殊场景监控</w:t>
      </w:r>
    </w:p>
    <w:p>
      <w:pPr>
        <w:pStyle w:val="23"/>
        <w:numPr>
          <w:ilvl w:val="0"/>
          <w:numId w:val="5"/>
        </w:numPr>
        <w:spacing w:line="360" w:lineRule="auto"/>
        <w:rPr>
          <w:rFonts w:hint="eastAsia" w:ascii="宋体" w:hAnsi="宋体" w:eastAsia="宋体" w:cs="宋体"/>
          <w:sz w:val="24"/>
        </w:rPr>
      </w:pPr>
      <w:r>
        <w:rPr>
          <w:rFonts w:hint="eastAsia" w:ascii="宋体" w:hAnsi="宋体" w:eastAsia="宋体" w:cs="宋体"/>
          <w:sz w:val="24"/>
        </w:rPr>
        <w:t>在</w:t>
      </w:r>
      <w:r>
        <w:rPr>
          <w:rFonts w:hint="eastAsia" w:ascii="宋体" w:hAnsi="宋体" w:eastAsia="宋体" w:cs="宋体"/>
          <w:sz w:val="24"/>
          <w:lang w:val="en-US" w:eastAsia="zh-CN"/>
        </w:rPr>
        <w:t>DPC装置、PC装置及BPA装置区，各安装2套高处摄像头。该摄像头应使用太阳能供电，并可无线传输视频信号至智慧工地平台。</w:t>
      </w:r>
    </w:p>
    <w:p>
      <w:pPr>
        <w:pStyle w:val="23"/>
        <w:numPr>
          <w:ilvl w:val="0"/>
          <w:numId w:val="5"/>
        </w:numPr>
        <w:spacing w:line="360" w:lineRule="auto"/>
        <w:rPr>
          <w:rFonts w:hint="eastAsia" w:ascii="宋体" w:hAnsi="宋体" w:eastAsia="宋体" w:cs="宋体"/>
          <w:sz w:val="24"/>
        </w:rPr>
      </w:pPr>
      <w:r>
        <w:rPr>
          <w:rFonts w:hint="eastAsia" w:ascii="宋体" w:hAnsi="宋体" w:eastAsia="宋体" w:cs="宋体"/>
          <w:sz w:val="24"/>
        </w:rPr>
        <w:t>在</w:t>
      </w:r>
      <w:r>
        <w:rPr>
          <w:rFonts w:hint="eastAsia" w:ascii="宋体" w:hAnsi="宋体" w:eastAsia="宋体" w:cs="宋体"/>
          <w:sz w:val="24"/>
          <w:lang w:val="en-US" w:eastAsia="zh-CN"/>
        </w:rPr>
        <w:t>进行红区、有限绿区的危重大作业时，</w:t>
      </w:r>
      <w:r>
        <w:rPr>
          <w:rFonts w:hint="eastAsia" w:ascii="宋体" w:hAnsi="宋体" w:eastAsia="宋体" w:cs="宋体"/>
          <w:sz w:val="24"/>
        </w:rPr>
        <w:t xml:space="preserve">考虑配置 </w:t>
      </w:r>
      <w:r>
        <w:rPr>
          <w:rFonts w:hint="eastAsia" w:ascii="宋体" w:hAnsi="宋体" w:eastAsia="宋体" w:cs="宋体"/>
          <w:sz w:val="24"/>
          <w:lang w:val="en-US" w:eastAsia="zh-CN"/>
        </w:rPr>
        <w:t>4</w:t>
      </w:r>
      <w:r>
        <w:rPr>
          <w:rFonts w:hint="eastAsia" w:ascii="宋体" w:hAnsi="宋体" w:eastAsia="宋体" w:cs="宋体"/>
          <w:sz w:val="24"/>
        </w:rPr>
        <w:t xml:space="preserve"> 台</w:t>
      </w:r>
      <w:r>
        <w:rPr>
          <w:rFonts w:hint="eastAsia" w:ascii="宋体" w:hAnsi="宋体" w:eastAsia="宋体" w:cs="宋体"/>
          <w:sz w:val="24"/>
          <w:lang w:val="en-US" w:eastAsia="zh-CN"/>
        </w:rPr>
        <w:t>防爆式</w:t>
      </w:r>
      <w:r>
        <w:rPr>
          <w:rFonts w:hint="eastAsia" w:ascii="宋体" w:hAnsi="宋体" w:eastAsia="宋体" w:cs="宋体"/>
          <w:sz w:val="24"/>
        </w:rPr>
        <w:t>移动布控球摄像机，监控数据可以通过5G专网实时导入智慧工地。</w:t>
      </w:r>
    </w:p>
    <w:p>
      <w:pPr>
        <w:pStyle w:val="23"/>
        <w:numPr>
          <w:ilvl w:val="0"/>
          <w:numId w:val="5"/>
        </w:numPr>
        <w:spacing w:line="360" w:lineRule="auto"/>
        <w:rPr>
          <w:rFonts w:ascii="宋体" w:hAnsi="宋体" w:eastAsia="宋体" w:cs="宋体"/>
          <w:spacing w:val="-8"/>
          <w:sz w:val="24"/>
        </w:rPr>
      </w:pPr>
      <w:r>
        <w:rPr>
          <w:rFonts w:hint="eastAsia" w:ascii="宋体" w:hAnsi="宋体" w:eastAsia="宋体" w:cs="宋体"/>
          <w:sz w:val="24"/>
          <w:lang w:val="en-US" w:eastAsia="zh-CN"/>
        </w:rPr>
        <w:t>建设单位</w:t>
      </w:r>
      <w:r>
        <w:rPr>
          <w:rFonts w:hint="eastAsia" w:ascii="宋体" w:hAnsi="宋体" w:eastAsia="宋体" w:cs="宋体"/>
          <w:sz w:val="24"/>
        </w:rPr>
        <w:t>要求在</w:t>
      </w:r>
      <w:r>
        <w:rPr>
          <w:rFonts w:hint="eastAsia" w:ascii="宋体" w:hAnsi="宋体" w:eastAsia="宋体" w:cs="宋体"/>
          <w:sz w:val="24"/>
          <w:lang w:val="en-US" w:eastAsia="zh-CN"/>
        </w:rPr>
        <w:t>CSPC东门外</w:t>
      </w:r>
      <w:r>
        <w:rPr>
          <w:rFonts w:hint="eastAsia" w:ascii="宋体" w:hAnsi="宋体" w:eastAsia="宋体" w:cs="宋体"/>
          <w:sz w:val="24"/>
        </w:rPr>
        <w:t>及</w:t>
      </w:r>
      <w:r>
        <w:rPr>
          <w:rFonts w:hint="eastAsia" w:ascii="宋体" w:hAnsi="宋体" w:eastAsia="宋体" w:cs="宋体"/>
          <w:sz w:val="24"/>
          <w:lang w:val="en-US" w:eastAsia="zh-CN"/>
        </w:rPr>
        <w:t>北侧高杆灯</w:t>
      </w:r>
      <w:r>
        <w:rPr>
          <w:rFonts w:hint="eastAsia" w:ascii="宋体" w:hAnsi="宋体" w:eastAsia="宋体" w:cs="宋体"/>
          <w:sz w:val="24"/>
        </w:rPr>
        <w:t>处，设置高空鹰眼摄像头（共计</w:t>
      </w:r>
      <w:r>
        <w:rPr>
          <w:rFonts w:hint="eastAsia" w:ascii="宋体" w:hAnsi="宋体" w:eastAsia="宋体" w:cs="宋体"/>
          <w:sz w:val="24"/>
          <w:lang w:val="en-US" w:eastAsia="zh-CN"/>
        </w:rPr>
        <w:t>2</w:t>
      </w:r>
      <w:r>
        <w:rPr>
          <w:rFonts w:hint="eastAsia" w:ascii="宋体" w:hAnsi="宋体" w:eastAsia="宋体" w:cs="宋体"/>
          <w:sz w:val="24"/>
        </w:rPr>
        <w:t>个），</w:t>
      </w:r>
      <w:r>
        <w:rPr>
          <w:rFonts w:hint="eastAsia" w:ascii="宋体" w:hAnsi="宋体" w:eastAsia="宋体" w:cs="宋体"/>
          <w:spacing w:val="-8"/>
          <w:sz w:val="24"/>
          <w:lang w:val="en-US" w:eastAsia="zh-CN"/>
        </w:rPr>
        <w:t>投标方</w:t>
      </w:r>
      <w:r>
        <w:rPr>
          <w:rFonts w:hint="eastAsia" w:ascii="宋体" w:hAnsi="宋体" w:eastAsia="宋体" w:cs="宋体"/>
          <w:spacing w:val="-8"/>
          <w:sz w:val="24"/>
        </w:rPr>
        <w:t>负责安装布线。</w:t>
      </w:r>
    </w:p>
    <w:p>
      <w:pPr>
        <w:pStyle w:val="8"/>
        <w:autoSpaceDE w:val="0"/>
        <w:autoSpaceDN w:val="0"/>
        <w:spacing w:line="360" w:lineRule="auto"/>
        <w:ind w:left="0" w:firstLine="420" w:firstLineChars="200"/>
        <w:rPr>
          <w:rFonts w:hint="eastAsia" w:ascii="宋体" w:hAnsi="宋体" w:eastAsia="宋体" w:cs="宋体"/>
        </w:rPr>
      </w:pPr>
      <w:r>
        <w:rPr>
          <w:rFonts w:hint="eastAsia" w:ascii="宋体" w:hAnsi="宋体" w:eastAsia="宋体" w:cs="宋体"/>
        </w:rPr>
        <w:t>监控</w:t>
      </w:r>
      <w:r>
        <w:rPr>
          <w:rFonts w:hint="eastAsia" w:ascii="宋体" w:hAnsi="宋体" w:eastAsia="宋体" w:cs="宋体"/>
          <w:bCs/>
        </w:rPr>
        <w:t>摄像机</w:t>
      </w:r>
      <w:r>
        <w:rPr>
          <w:rFonts w:hint="eastAsia" w:ascii="宋体" w:hAnsi="宋体" w:eastAsia="宋体" w:cs="宋体"/>
        </w:rPr>
        <w:t>供电方式（有线、太阳能、电池）根据现场实际情况确定，由</w:t>
      </w:r>
      <w:r>
        <w:rPr>
          <w:rFonts w:hint="eastAsia" w:ascii="宋体" w:hAnsi="宋体" w:eastAsia="宋体" w:cs="宋体"/>
          <w:lang w:val="en-US" w:eastAsia="zh-CN"/>
        </w:rPr>
        <w:t>投标方</w:t>
      </w:r>
      <w:r>
        <w:rPr>
          <w:rFonts w:hint="eastAsia" w:ascii="宋体" w:hAnsi="宋体" w:eastAsia="宋体" w:cs="宋体"/>
        </w:rPr>
        <w:t>在设计阶段为</w:t>
      </w:r>
      <w:r>
        <w:rPr>
          <w:rFonts w:hint="eastAsia" w:ascii="宋体" w:hAnsi="宋体" w:eastAsia="宋体" w:cs="宋体"/>
          <w:lang w:val="en-US" w:eastAsia="zh-CN"/>
        </w:rPr>
        <w:t>建设单位</w:t>
      </w:r>
      <w:r>
        <w:rPr>
          <w:rFonts w:hint="eastAsia" w:ascii="宋体" w:hAnsi="宋体" w:eastAsia="宋体" w:cs="宋体"/>
        </w:rPr>
        <w:t>设计具体方案。</w:t>
      </w:r>
    </w:p>
    <w:p>
      <w:pPr>
        <w:pStyle w:val="8"/>
        <w:spacing w:line="360" w:lineRule="auto"/>
        <w:ind w:left="0" w:leftChars="0" w:firstLine="0" w:firstLineChars="0"/>
        <w:rPr>
          <w:rFonts w:ascii="宋体" w:hAnsi="宋体" w:eastAsia="宋体" w:cs="宋体"/>
        </w:rPr>
      </w:pPr>
      <w:r>
        <w:rPr>
          <w:rFonts w:hint="eastAsia" w:ascii="宋体" w:hAnsi="宋体" w:eastAsia="宋体" w:cs="宋体"/>
        </w:rPr>
        <w:t>（5）主干道测速系统</w:t>
      </w:r>
    </w:p>
    <w:p>
      <w:pPr>
        <w:pStyle w:val="8"/>
        <w:autoSpaceDE w:val="0"/>
        <w:autoSpaceDN w:val="0"/>
        <w:spacing w:line="360" w:lineRule="auto"/>
        <w:ind w:left="0" w:firstLine="420" w:firstLineChars="200"/>
        <w:rPr>
          <w:rFonts w:ascii="宋体" w:hAnsi="宋体" w:eastAsia="宋体" w:cs="宋体"/>
        </w:rPr>
      </w:pPr>
      <w:r>
        <w:rPr>
          <w:rFonts w:hint="eastAsia" w:ascii="宋体" w:hAnsi="宋体" w:eastAsia="宋体" w:cs="宋体"/>
        </w:rPr>
        <w:t xml:space="preserve">为了实现厂区交通秩序的高效管理，保障厂区内部人员的人身财产安全， </w:t>
      </w:r>
      <w:r>
        <w:rPr>
          <w:rFonts w:hint="eastAsia" w:ascii="宋体" w:hAnsi="宋体" w:eastAsia="宋体" w:cs="宋体"/>
          <w:lang w:eastAsia="zh-CN"/>
        </w:rPr>
        <w:t>投标方</w:t>
      </w:r>
      <w:r>
        <w:rPr>
          <w:rFonts w:hint="eastAsia" w:ascii="宋体" w:hAnsi="宋体" w:eastAsia="宋体" w:cs="宋体"/>
        </w:rPr>
        <w:t>需为</w:t>
      </w:r>
      <w:r>
        <w:rPr>
          <w:rFonts w:hint="eastAsia" w:ascii="宋体" w:hAnsi="宋体" w:eastAsia="宋体" w:cs="宋体"/>
          <w:lang w:eastAsia="zh-CN"/>
        </w:rPr>
        <w:t>建设单位</w:t>
      </w:r>
      <w:r>
        <w:rPr>
          <w:rFonts w:hint="eastAsia" w:ascii="宋体" w:hAnsi="宋体" w:eastAsia="宋体" w:cs="宋体"/>
          <w:lang w:val="en-US" w:eastAsia="zh-CN"/>
        </w:rPr>
        <w:t>在指定位置（3#路一个点，42#路一个点）</w:t>
      </w:r>
      <w:r>
        <w:rPr>
          <w:rFonts w:hint="eastAsia" w:ascii="宋体" w:hAnsi="宋体" w:eastAsia="宋体" w:cs="宋体"/>
        </w:rPr>
        <w:t>建设车辆测速监管系统，实现厂区内车辆超速管控。</w:t>
      </w:r>
    </w:p>
    <w:p>
      <w:pPr>
        <w:pStyle w:val="8"/>
        <w:autoSpaceDE w:val="0"/>
        <w:autoSpaceDN w:val="0"/>
        <w:spacing w:line="360" w:lineRule="auto"/>
        <w:ind w:left="0" w:firstLine="420" w:firstLineChars="200"/>
        <w:rPr>
          <w:rFonts w:ascii="宋体" w:hAnsi="宋体" w:eastAsia="宋体" w:cs="宋体"/>
        </w:rPr>
      </w:pPr>
      <w:r>
        <w:rPr>
          <w:rFonts w:hint="eastAsia" w:ascii="宋体" w:hAnsi="宋体" w:eastAsia="宋体" w:cs="宋体"/>
        </w:rPr>
        <w:t>在厂区主干道部署测速一体机抓拍单元，该抓拍单元需要有完整的视频监控及存储功能，主要负责对经过主干道的车辆进行车速检测及车牌识别抓拍。测速一体机上设置速度反馈屏：含警示灯，可显示车速、车辆号牌，限速值可定制修改。对于超速车辆，数据计入聚碳信息管理平台车辆管理模块，并按规范要求进行相应的奖惩措施，同时能够联动门禁车辆进出。</w:t>
      </w:r>
    </w:p>
    <w:p>
      <w:pPr>
        <w:pStyle w:val="8"/>
        <w:autoSpaceDE w:val="0"/>
        <w:autoSpaceDN w:val="0"/>
        <w:spacing w:line="360" w:lineRule="auto"/>
        <w:ind w:left="0" w:firstLine="420" w:firstLineChars="200"/>
        <w:rPr>
          <w:rFonts w:ascii="宋体" w:hAnsi="宋体" w:eastAsia="宋体" w:cs="宋体"/>
        </w:rPr>
      </w:pPr>
      <w:r>
        <w:rPr>
          <w:rFonts w:hint="eastAsia" w:ascii="宋体" w:hAnsi="宋体" w:eastAsia="宋体" w:cs="宋体"/>
        </w:rPr>
        <w:t>测速一体机抓拍单元采用一体化设计，测速一体机、限速指示牌融合为一体，提醒驾驶员控制车速。</w:t>
      </w:r>
    </w:p>
    <w:p>
      <w:pPr>
        <w:pStyle w:val="8"/>
        <w:autoSpaceDE w:val="0"/>
        <w:autoSpaceDN w:val="0"/>
        <w:spacing w:line="360" w:lineRule="auto"/>
        <w:ind w:left="0" w:firstLine="420" w:firstLineChars="200"/>
        <w:rPr>
          <w:rFonts w:ascii="宋体" w:hAnsi="宋体" w:eastAsia="宋体" w:cs="宋体"/>
        </w:rPr>
      </w:pPr>
      <w:r>
        <w:rPr>
          <w:rFonts w:hint="eastAsia" w:ascii="宋体" w:hAnsi="宋体" w:eastAsia="宋体" w:cs="宋体"/>
        </w:rPr>
        <w:t>考虑到测速路段物料运输的需要，本项目中测速设备考虑采用侧装的方式安装，即测速设备布置在道路的一侧，并且要求便于移动，确保不影响物料的运输。</w:t>
      </w:r>
    </w:p>
    <w:p>
      <w:pPr>
        <w:pStyle w:val="8"/>
        <w:autoSpaceDE w:val="0"/>
        <w:autoSpaceDN w:val="0"/>
        <w:spacing w:line="360" w:lineRule="auto"/>
        <w:ind w:left="0" w:firstLine="420" w:firstLineChars="200"/>
        <w:rPr>
          <w:rFonts w:ascii="宋体" w:hAnsi="宋体" w:eastAsia="宋体" w:cs="宋体"/>
        </w:rPr>
      </w:pPr>
      <w:r>
        <w:rPr>
          <w:rFonts w:hint="eastAsia" w:ascii="宋体" w:hAnsi="宋体" w:eastAsia="宋体" w:cs="宋体"/>
        </w:rPr>
        <w:t>超速警示适用于场内道路限速路段。当车辆以正常速度经过测速点位时，信息发布屏显示默认提示信息，当车辆超速驶入时，信息发布屏进行超速实时提醒。系统实时获取雷达感知信息，并在信息屏上进行警示，有助于让司机及时了解自身的不安全驾驶行为并纠正，做到人文关怀和安全提醒相结合。</w:t>
      </w:r>
    </w:p>
    <w:p>
      <w:pPr>
        <w:pStyle w:val="8"/>
        <w:autoSpaceDE w:val="0"/>
        <w:autoSpaceDN w:val="0"/>
        <w:spacing w:line="360" w:lineRule="auto"/>
        <w:ind w:left="0" w:firstLine="420" w:firstLineChars="200"/>
        <w:rPr>
          <w:rFonts w:ascii="宋体" w:hAnsi="宋体" w:eastAsia="宋体" w:cs="宋体"/>
        </w:rPr>
      </w:pPr>
      <w:r>
        <w:rPr>
          <w:rFonts w:hint="eastAsia" w:ascii="宋体" w:hAnsi="宋体" w:eastAsia="宋体" w:cs="宋体"/>
        </w:rPr>
        <w:t>系统通过雷视一体机自定义测速点位检测过车速度，若未超速则发布提示信息，若超速则发布超速警示信息，对超速车辆进行警示。</w:t>
      </w:r>
    </w:p>
    <w:p>
      <w:pPr>
        <w:pStyle w:val="8"/>
        <w:autoSpaceDE w:val="0"/>
        <w:autoSpaceDN w:val="0"/>
        <w:spacing w:line="360" w:lineRule="auto"/>
        <w:ind w:left="0" w:firstLine="420" w:firstLineChars="200"/>
        <w:rPr>
          <w:rFonts w:ascii="宋体" w:hAnsi="宋体" w:eastAsia="宋体" w:cs="宋体"/>
        </w:rPr>
      </w:pPr>
      <w:r>
        <w:rPr>
          <w:rFonts w:hint="eastAsia" w:ascii="宋体" w:hAnsi="宋体" w:eastAsia="宋体" w:cs="宋体"/>
        </w:rPr>
        <w:t>通过路口终端设备，可实现对多个测速点位超速信息的统一发布上屏。可进行自定义发布字段、循环条目、维持时间等配置操作。</w:t>
      </w:r>
    </w:p>
    <w:p>
      <w:pPr>
        <w:pStyle w:val="4"/>
        <w:numPr>
          <w:ilvl w:val="2"/>
          <w:numId w:val="4"/>
        </w:numPr>
        <w:bidi w:val="0"/>
        <w:ind w:left="709" w:leftChars="0" w:hanging="709" w:firstLineChars="0"/>
        <w:rPr>
          <w:rFonts w:hint="eastAsia"/>
          <w:highlight w:val="none"/>
          <w:lang w:val="en-US" w:eastAsia="zh-CN"/>
        </w:rPr>
      </w:pPr>
      <w:bookmarkStart w:id="120" w:name="_Toc21898"/>
      <w:bookmarkStart w:id="121" w:name="_Toc22770"/>
      <w:r>
        <w:rPr>
          <w:rFonts w:hint="eastAsia"/>
          <w:highlight w:val="none"/>
          <w:lang w:val="en-US" w:eastAsia="zh-CN"/>
        </w:rPr>
        <w:t>设备清单</w:t>
      </w:r>
      <w:r>
        <w:rPr>
          <w:rFonts w:hint="eastAsia"/>
          <w:highlight w:val="none"/>
          <w:lang w:eastAsia="zh-CN"/>
        </w:rPr>
        <w:t>（</w:t>
      </w:r>
      <w:r>
        <w:rPr>
          <w:rFonts w:hint="eastAsia"/>
          <w:highlight w:val="none"/>
          <w:lang w:val="en-US" w:eastAsia="zh-CN"/>
        </w:rPr>
        <w:t>具体数量以工程量清单为准</w:t>
      </w:r>
      <w:r>
        <w:rPr>
          <w:rFonts w:hint="eastAsia"/>
          <w:highlight w:val="none"/>
          <w:lang w:eastAsia="zh-CN"/>
        </w:rPr>
        <w:t>）</w:t>
      </w:r>
      <w:bookmarkEnd w:id="120"/>
      <w:bookmarkEnd w:id="121"/>
    </w:p>
    <w:tbl>
      <w:tblPr>
        <w:tblStyle w:val="15"/>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1"/>
        <w:gridCol w:w="4357"/>
        <w:gridCol w:w="1320"/>
        <w:gridCol w:w="1309"/>
        <w:gridCol w:w="1322"/>
        <w:gridCol w:w="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540" w:hRule="atLeast"/>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序 号</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名 称</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单位</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数量</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540" w:hRule="atLeast"/>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超星光全景枪球一体机（含电源转换器、摄像机支架）采购、安装、调试服务</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套</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12</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540" w:hRule="atLeast"/>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室外防水设备箱（含浪涌保护器等）采购、安装、调试服务</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套</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20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540" w:hRule="atLeast"/>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视频监控辅材采购、安装、调试服务</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项</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 xml:space="preserve">1 </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540" w:hRule="atLeast"/>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监控立杆（镀锌）采购、安装、调试服务</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套</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12</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540" w:hRule="atLeast"/>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5</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接入交换机采购、安装、调试服务</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套</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12</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pct"/>
          <w:trHeight w:val="540" w:hRule="atLeast"/>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6</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防爆移动布控球采购、安装、调试服务</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套</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7</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both"/>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测速一体机（含电源转换及支架）采购、安装、调试服务</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套</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4</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8</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both"/>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移动基础采购、安装、调试服务</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套</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4</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9</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鹰眼摄像头采购、安装、调试服务</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套</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10</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高处摄像头（含电源转换器/支架）采购、安装、调试服务</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套</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6</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太阳能板及电池</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套</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6</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12</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both"/>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1"/>
                <w:szCs w:val="21"/>
                <w:highlight w:val="none"/>
                <w:u w:val="none"/>
                <w:lang w:val="en-US" w:eastAsia="zh-CN" w:bidi="ar"/>
              </w:rPr>
              <w:t>鹰眼及高处摄像头监控辅材采购、安装、调试服务</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项</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default" w:ascii="微软雅黑" w:hAnsi="微软雅黑" w:eastAsia="微软雅黑" w:cs="微软雅黑"/>
                <w:i w:val="0"/>
                <w:iCs w:val="0"/>
                <w:color w:val="000000"/>
                <w:kern w:val="0"/>
                <w:sz w:val="21"/>
                <w:szCs w:val="21"/>
                <w:highlight w:val="none"/>
                <w:u w:val="none"/>
                <w:lang w:val="en-US" w:eastAsia="zh-CN" w:bidi="ar"/>
              </w:rPr>
            </w:pPr>
            <w:r>
              <w:rPr>
                <w:rFonts w:hint="eastAsia" w:ascii="微软雅黑" w:hAnsi="微软雅黑" w:eastAsia="微软雅黑" w:cs="微软雅黑"/>
                <w:i w:val="0"/>
                <w:iCs w:val="0"/>
                <w:color w:val="000000"/>
                <w:kern w:val="0"/>
                <w:sz w:val="21"/>
                <w:szCs w:val="21"/>
                <w:highlight w:val="none"/>
                <w:u w:val="none"/>
                <w:lang w:val="en-US" w:eastAsia="zh-CN" w:bidi="ar"/>
              </w:rPr>
              <w:t>13</w:t>
            </w:r>
          </w:p>
        </w:tc>
        <w:tc>
          <w:tcPr>
            <w:tcW w:w="2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contextualSpacing w:val="0"/>
              <w:jc w:val="both"/>
              <w:textAlignment w:val="center"/>
              <w:rPr>
                <w:rFonts w:hint="eastAsia" w:ascii="微软雅黑" w:hAnsi="微软雅黑" w:eastAsia="微软雅黑" w:cs="微软雅黑"/>
                <w:i w:val="0"/>
                <w:iCs w:val="0"/>
                <w:color w:val="000000"/>
                <w:kern w:val="0"/>
                <w:sz w:val="21"/>
                <w:szCs w:val="21"/>
                <w:highlight w:val="none"/>
                <w:u w:val="none"/>
                <w:lang w:val="en-US" w:eastAsia="zh-CN" w:bidi="ar"/>
              </w:rPr>
            </w:pPr>
            <w:r>
              <w:rPr>
                <w:rFonts w:hint="eastAsia" w:ascii="微软雅黑" w:hAnsi="微软雅黑" w:eastAsia="微软雅黑" w:cs="微软雅黑"/>
                <w:i w:val="0"/>
                <w:iCs w:val="0"/>
                <w:color w:val="000000"/>
                <w:kern w:val="0"/>
                <w:sz w:val="21"/>
                <w:szCs w:val="21"/>
                <w:highlight w:val="none"/>
                <w:u w:val="none"/>
                <w:lang w:val="en-US" w:eastAsia="zh-CN" w:bidi="ar"/>
              </w:rPr>
              <w:t>测速系统辅材采购、安装、调试服务</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highlight w:val="none"/>
                <w:u w:val="none"/>
                <w:lang w:val="en-US" w:eastAsia="zh-CN" w:bidi="ar"/>
              </w:rPr>
            </w:pPr>
            <w:r>
              <w:rPr>
                <w:rFonts w:hint="eastAsia" w:ascii="微软雅黑" w:hAnsi="微软雅黑" w:eastAsia="微软雅黑" w:cs="微软雅黑"/>
                <w:i w:val="0"/>
                <w:iCs w:val="0"/>
                <w:color w:val="000000"/>
                <w:kern w:val="0"/>
                <w:sz w:val="21"/>
                <w:szCs w:val="21"/>
                <w:highlight w:val="none"/>
                <w:u w:val="none"/>
                <w:lang w:val="en-US" w:eastAsia="zh-CN" w:bidi="ar"/>
              </w:rPr>
              <w:t>项</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highlight w:val="none"/>
                <w:u w:val="none"/>
                <w:lang w:val="en-US" w:eastAsia="zh-CN" w:bidi="ar"/>
              </w:rPr>
            </w:pPr>
            <w:r>
              <w:rPr>
                <w:rFonts w:hint="eastAsia" w:ascii="微软雅黑" w:hAnsi="微软雅黑" w:eastAsia="微软雅黑" w:cs="微软雅黑"/>
                <w:i w:val="0"/>
                <w:iCs w:val="0"/>
                <w:color w:val="000000"/>
                <w:kern w:val="0"/>
                <w:sz w:val="21"/>
                <w:szCs w:val="21"/>
                <w:highlight w:val="none"/>
                <w:u w:val="none"/>
                <w:lang w:val="en-US" w:eastAsia="zh-CN" w:bidi="ar"/>
              </w:rPr>
              <w:t>1</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contextualSpacing w:val="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Times New Roman" w:hAnsi="Times New Roman" w:eastAsia="宋体" w:cs="宋体"/>
                <w:b w:val="0"/>
                <w:bCs w:val="0"/>
                <w:kern w:val="0"/>
                <w:sz w:val="21"/>
                <w:szCs w:val="21"/>
                <w:highlight w:val="none"/>
                <w:lang w:bidi="ar"/>
              </w:rPr>
              <w:t>备注：具体技术参数请参考“7.硬件要求”及附件《</w:t>
            </w:r>
            <w:r>
              <w:rPr>
                <w:rFonts w:hint="eastAsia" w:cs="宋体"/>
                <w:b w:val="0"/>
                <w:bCs w:val="0"/>
                <w:kern w:val="0"/>
                <w:sz w:val="21"/>
                <w:szCs w:val="21"/>
                <w:highlight w:val="none"/>
                <w:lang w:eastAsia="zh-CN" w:bidi="ar"/>
              </w:rPr>
              <w:t>中海壳牌聚碳项目智慧工地清单</w:t>
            </w:r>
            <w:r>
              <w:rPr>
                <w:rFonts w:hint="eastAsia" w:ascii="Times New Roman" w:hAnsi="Times New Roman" w:eastAsia="宋体" w:cs="宋体"/>
                <w:b w:val="0"/>
                <w:bCs w:val="0"/>
                <w:kern w:val="0"/>
                <w:sz w:val="21"/>
                <w:szCs w:val="21"/>
                <w:highlight w:val="none"/>
                <w:lang w:bidi="ar"/>
              </w:rPr>
              <w:t>》。</w:t>
            </w:r>
          </w:p>
        </w:tc>
      </w:tr>
    </w:tbl>
    <w:p>
      <w:pPr>
        <w:pStyle w:val="3"/>
        <w:numPr>
          <w:ilvl w:val="0"/>
          <w:numId w:val="0"/>
        </w:numPr>
        <w:bidi w:val="0"/>
        <w:ind w:left="0" w:leftChars="0" w:firstLine="0" w:firstLineChars="0"/>
        <w:rPr>
          <w:highlight w:val="none"/>
        </w:rPr>
      </w:pPr>
      <w:bookmarkStart w:id="122" w:name="_Toc531780238"/>
      <w:bookmarkStart w:id="123" w:name="_Toc522360810"/>
      <w:bookmarkStart w:id="124" w:name="_Toc9497"/>
      <w:bookmarkStart w:id="125" w:name="_Toc4476"/>
      <w:r>
        <w:rPr>
          <w:rFonts w:hint="eastAsia"/>
          <w:highlight w:val="none"/>
          <w:lang w:val="en-US" w:eastAsia="zh-CN"/>
        </w:rPr>
        <w:t>6、</w:t>
      </w:r>
      <w:r>
        <w:rPr>
          <w:rFonts w:hint="eastAsia"/>
          <w:highlight w:val="none"/>
        </w:rPr>
        <w:t>智慧工地集成性能要求</w:t>
      </w:r>
      <w:bookmarkEnd w:id="122"/>
      <w:bookmarkEnd w:id="123"/>
      <w:bookmarkEnd w:id="124"/>
      <w:bookmarkEnd w:id="125"/>
    </w:p>
    <w:p>
      <w:pPr>
        <w:pStyle w:val="2"/>
        <w:numPr>
          <w:ilvl w:val="1"/>
          <w:numId w:val="0"/>
        </w:numPr>
        <w:bidi w:val="0"/>
        <w:ind w:left="0" w:leftChars="0" w:firstLine="0" w:firstLineChars="0"/>
        <w:rPr>
          <w:highlight w:val="none"/>
        </w:rPr>
      </w:pPr>
      <w:bookmarkStart w:id="126" w:name="_Toc18643"/>
      <w:bookmarkStart w:id="127" w:name="_Toc531780242"/>
      <w:bookmarkStart w:id="128" w:name="_Toc522360811"/>
      <w:bookmarkStart w:id="129" w:name="_Toc27763"/>
      <w:r>
        <w:rPr>
          <w:rFonts w:hint="eastAsia"/>
          <w:highlight w:val="none"/>
          <w:lang w:val="en-US" w:eastAsia="zh-CN"/>
        </w:rPr>
        <w:t>6.1</w:t>
      </w:r>
      <w:r>
        <w:rPr>
          <w:rFonts w:hint="eastAsia"/>
          <w:highlight w:val="none"/>
        </w:rPr>
        <w:t>智慧工地硬件集成性要求</w:t>
      </w:r>
      <w:bookmarkEnd w:id="126"/>
      <w:bookmarkEnd w:id="127"/>
      <w:bookmarkEnd w:id="128"/>
      <w:bookmarkEnd w:id="129"/>
    </w:p>
    <w:p>
      <w:pPr>
        <w:pStyle w:val="28"/>
        <w:numPr>
          <w:ilvl w:val="0"/>
          <w:numId w:val="0"/>
        </w:numPr>
        <w:ind w:firstLine="480" w:firstLineChars="200"/>
        <w:rPr>
          <w:rFonts w:hint="eastAsia" w:ascii="Times New Roman" w:hAnsi="Times New Roman" w:eastAsia="宋体" w:cs="Times New Roman"/>
          <w:kern w:val="2"/>
          <w:sz w:val="24"/>
          <w:szCs w:val="24"/>
          <w:highlight w:val="none"/>
          <w:lang w:val="en-GB" w:eastAsia="zh-CN" w:bidi="ar-SA"/>
        </w:rPr>
      </w:pPr>
      <w:r>
        <w:rPr>
          <w:rFonts w:hint="eastAsia" w:ascii="Times New Roman" w:hAnsi="Times New Roman" w:eastAsia="宋体" w:cs="Times New Roman"/>
          <w:kern w:val="2"/>
          <w:sz w:val="24"/>
          <w:szCs w:val="24"/>
          <w:highlight w:val="none"/>
          <w:lang w:val="en-GB" w:eastAsia="zh-CN" w:bidi="ar-SA"/>
        </w:rPr>
        <w:t>本项目建设的智慧工地硬件需支持与智慧工地</w:t>
      </w:r>
      <w:r>
        <w:rPr>
          <w:rFonts w:hint="eastAsia" w:cs="Times New Roman"/>
          <w:kern w:val="2"/>
          <w:sz w:val="24"/>
          <w:szCs w:val="24"/>
          <w:highlight w:val="none"/>
          <w:lang w:val="en-US" w:eastAsia="zh-CN" w:bidi="ar-SA"/>
        </w:rPr>
        <w:t>管理平台、5G专网及施工单位视频监控</w:t>
      </w:r>
      <w:r>
        <w:rPr>
          <w:rFonts w:hint="eastAsia" w:ascii="Times New Roman" w:hAnsi="Times New Roman" w:eastAsia="宋体" w:cs="Times New Roman"/>
          <w:kern w:val="2"/>
          <w:sz w:val="24"/>
          <w:szCs w:val="24"/>
          <w:highlight w:val="none"/>
          <w:lang w:val="en-GB" w:eastAsia="zh-CN" w:bidi="ar-SA"/>
        </w:rPr>
        <w:t>等系统</w:t>
      </w:r>
      <w:r>
        <w:rPr>
          <w:rFonts w:hint="eastAsia" w:cs="Times New Roman"/>
          <w:kern w:val="2"/>
          <w:sz w:val="24"/>
          <w:szCs w:val="24"/>
          <w:highlight w:val="none"/>
          <w:lang w:val="en-US" w:eastAsia="zh-CN" w:bidi="ar-SA"/>
        </w:rPr>
        <w:t>设备</w:t>
      </w:r>
      <w:r>
        <w:rPr>
          <w:rFonts w:hint="eastAsia" w:ascii="Times New Roman" w:hAnsi="Times New Roman" w:eastAsia="宋体" w:cs="Times New Roman"/>
          <w:kern w:val="2"/>
          <w:sz w:val="24"/>
          <w:szCs w:val="24"/>
          <w:highlight w:val="none"/>
          <w:lang w:val="en-GB" w:eastAsia="zh-CN" w:bidi="ar-SA"/>
        </w:rPr>
        <w:t>集成，实现与其他系统的双向集成，实现功能应用，同时提供高可用，扩展性高的系统架构</w:t>
      </w:r>
      <w:r>
        <w:rPr>
          <w:rFonts w:hint="eastAsia" w:cs="Times New Roman"/>
          <w:kern w:val="2"/>
          <w:sz w:val="24"/>
          <w:szCs w:val="24"/>
          <w:highlight w:val="none"/>
          <w:lang w:val="en-GB" w:eastAsia="zh-CN" w:bidi="ar-SA"/>
        </w:rPr>
        <w:t>、</w:t>
      </w:r>
      <w:r>
        <w:rPr>
          <w:rFonts w:hint="eastAsia" w:ascii="Times New Roman" w:hAnsi="Times New Roman" w:eastAsia="宋体" w:cs="Times New Roman"/>
          <w:kern w:val="2"/>
          <w:sz w:val="24"/>
          <w:szCs w:val="24"/>
          <w:highlight w:val="none"/>
          <w:lang w:val="en-GB" w:eastAsia="zh-CN" w:bidi="ar-SA"/>
        </w:rPr>
        <w:t>。</w:t>
      </w:r>
    </w:p>
    <w:p>
      <w:pPr>
        <w:pStyle w:val="28"/>
        <w:numPr>
          <w:ilvl w:val="0"/>
          <w:numId w:val="0"/>
        </w:numPr>
        <w:ind w:firstLine="480" w:firstLineChars="200"/>
        <w:rPr>
          <w:rFonts w:hint="eastAsia" w:ascii="Times New Roman" w:hAnsi="Times New Roman" w:eastAsia="宋体" w:cs="Times New Roman"/>
          <w:kern w:val="2"/>
          <w:sz w:val="24"/>
          <w:szCs w:val="24"/>
          <w:highlight w:val="none"/>
          <w:lang w:val="en-GB" w:eastAsia="zh-CN" w:bidi="ar-SA"/>
        </w:rPr>
      </w:pPr>
      <w:r>
        <w:rPr>
          <w:rFonts w:hint="eastAsia" w:ascii="Times New Roman" w:hAnsi="Times New Roman" w:eastAsia="宋体" w:cs="Times New Roman"/>
          <w:kern w:val="2"/>
          <w:sz w:val="24"/>
          <w:szCs w:val="24"/>
          <w:highlight w:val="none"/>
          <w:lang w:val="en-GB" w:eastAsia="zh-CN" w:bidi="ar-SA"/>
        </w:rPr>
        <w:t>硬件集成商需提供系统的接口及协议，不但要保证畅通的数据交换，还要满足扩展要求，符合接口标准规范。系统要预留软、硬件接口，能够实现与企业现有信息系统的集成，实现数据共享；</w:t>
      </w:r>
      <w:r>
        <w:rPr>
          <w:rFonts w:hint="eastAsia" w:cs="Times New Roman"/>
          <w:kern w:val="2"/>
          <w:sz w:val="24"/>
          <w:szCs w:val="24"/>
          <w:highlight w:val="none"/>
          <w:lang w:val="en-US" w:eastAsia="zh-CN" w:bidi="ar-SA"/>
        </w:rPr>
        <w:t>投标单位提供各系统的标准接口，配合智慧工地平台的开发集成工作，接口开发等工作由智慧工地平台负责</w:t>
      </w:r>
      <w:r>
        <w:rPr>
          <w:rFonts w:hint="eastAsia" w:ascii="Times New Roman" w:hAnsi="Times New Roman" w:eastAsia="宋体" w:cs="Times New Roman"/>
          <w:kern w:val="2"/>
          <w:sz w:val="24"/>
          <w:szCs w:val="24"/>
          <w:highlight w:val="none"/>
          <w:lang w:val="en-GB" w:eastAsia="zh-CN" w:bidi="ar-SA"/>
        </w:rPr>
        <w:t>。</w:t>
      </w:r>
    </w:p>
    <w:p>
      <w:pPr>
        <w:pStyle w:val="2"/>
        <w:numPr>
          <w:ilvl w:val="1"/>
          <w:numId w:val="0"/>
        </w:numPr>
        <w:bidi w:val="0"/>
        <w:ind w:left="0" w:leftChars="0" w:firstLine="0" w:firstLineChars="0"/>
        <w:rPr>
          <w:highlight w:val="none"/>
        </w:rPr>
      </w:pPr>
      <w:bookmarkStart w:id="130" w:name="_Toc531780243"/>
      <w:bookmarkStart w:id="131" w:name="_Toc522360812"/>
      <w:bookmarkStart w:id="132" w:name="_Toc30406"/>
      <w:bookmarkStart w:id="133" w:name="_Toc19235"/>
      <w:r>
        <w:rPr>
          <w:rFonts w:hint="eastAsia"/>
          <w:highlight w:val="none"/>
          <w:lang w:val="en-US" w:eastAsia="zh-CN"/>
        </w:rPr>
        <w:t>6.2</w:t>
      </w:r>
      <w:r>
        <w:rPr>
          <w:rFonts w:hint="eastAsia"/>
          <w:highlight w:val="none"/>
        </w:rPr>
        <w:t>智慧工地安全性要求</w:t>
      </w:r>
      <w:bookmarkEnd w:id="130"/>
      <w:bookmarkEnd w:id="131"/>
      <w:bookmarkEnd w:id="132"/>
      <w:bookmarkEnd w:id="133"/>
    </w:p>
    <w:p>
      <w:pPr>
        <w:bidi w:val="0"/>
        <w:rPr>
          <w:rFonts w:hint="eastAsia" w:ascii="Times New Roman" w:hAnsi="Times New Roman" w:eastAsia="宋体" w:cs="Times New Roman"/>
          <w:kern w:val="2"/>
          <w:sz w:val="24"/>
          <w:szCs w:val="24"/>
          <w:highlight w:val="none"/>
          <w:lang w:val="en-GB" w:eastAsia="zh-CN" w:bidi="ar-SA"/>
        </w:rPr>
      </w:pPr>
      <w:r>
        <w:rPr>
          <w:rFonts w:hint="eastAsia" w:cs="Times New Roman"/>
          <w:kern w:val="2"/>
          <w:sz w:val="24"/>
          <w:szCs w:val="24"/>
          <w:highlight w:val="none"/>
          <w:lang w:val="en-GB" w:eastAsia="zh-CN" w:bidi="ar-SA"/>
        </w:rPr>
        <w:t>智慧工地建设服务</w:t>
      </w:r>
      <w:r>
        <w:rPr>
          <w:rFonts w:hint="eastAsia" w:ascii="Times New Roman" w:hAnsi="Times New Roman" w:eastAsia="宋体" w:cs="Times New Roman"/>
          <w:kern w:val="2"/>
          <w:sz w:val="24"/>
          <w:szCs w:val="24"/>
          <w:highlight w:val="none"/>
          <w:lang w:val="en-GB" w:eastAsia="zh-CN" w:bidi="ar-SA"/>
        </w:rPr>
        <w:t>需涉及所有模块，具有完善、灵活的用户权限控制管理功能，根据不同的角色划分不同的权限</w:t>
      </w:r>
      <w:r>
        <w:rPr>
          <w:rFonts w:hint="eastAsia" w:cs="Times New Roman"/>
          <w:kern w:val="2"/>
          <w:sz w:val="24"/>
          <w:szCs w:val="24"/>
          <w:highlight w:val="none"/>
          <w:lang w:val="en-GB" w:eastAsia="zh-CN" w:bidi="ar-SA"/>
        </w:rPr>
        <w:t>。</w:t>
      </w:r>
    </w:p>
    <w:p>
      <w:pPr>
        <w:pStyle w:val="28"/>
        <w:numPr>
          <w:ilvl w:val="0"/>
          <w:numId w:val="0"/>
        </w:numPr>
        <w:rPr>
          <w:rFonts w:hint="eastAsia" w:ascii="Times New Roman" w:hAnsi="Times New Roman" w:eastAsia="宋体" w:cs="Times New Roman"/>
          <w:kern w:val="2"/>
          <w:sz w:val="24"/>
          <w:szCs w:val="24"/>
          <w:highlight w:val="none"/>
          <w:lang w:val="en-GB" w:eastAsia="zh-CN" w:bidi="ar-SA"/>
        </w:rPr>
      </w:pPr>
      <w:r>
        <w:rPr>
          <w:rFonts w:hint="eastAsia" w:ascii="Times New Roman" w:hAnsi="Times New Roman" w:eastAsia="宋体" w:cs="Times New Roman"/>
          <w:kern w:val="2"/>
          <w:sz w:val="24"/>
          <w:szCs w:val="24"/>
          <w:highlight w:val="none"/>
          <w:lang w:val="en-GB" w:eastAsia="zh-CN" w:bidi="ar-SA"/>
        </w:rPr>
        <w:t>（</w:t>
      </w:r>
      <w:r>
        <w:rPr>
          <w:rFonts w:hint="eastAsia" w:ascii="Times New Roman" w:hAnsi="Times New Roman" w:eastAsia="宋体" w:cs="Times New Roman"/>
          <w:kern w:val="2"/>
          <w:sz w:val="24"/>
          <w:szCs w:val="24"/>
          <w:highlight w:val="none"/>
          <w:lang w:val="en-US" w:eastAsia="zh-CN" w:bidi="ar-SA"/>
        </w:rPr>
        <w:t>1</w:t>
      </w:r>
      <w:r>
        <w:rPr>
          <w:rFonts w:hint="eastAsia" w:ascii="Times New Roman" w:hAnsi="Times New Roman" w:eastAsia="宋体" w:cs="Times New Roman"/>
          <w:kern w:val="2"/>
          <w:sz w:val="24"/>
          <w:szCs w:val="24"/>
          <w:highlight w:val="none"/>
          <w:lang w:val="en-GB" w:eastAsia="zh-CN" w:bidi="ar-SA"/>
        </w:rPr>
        <w:t>）平台需具有密码控制等安全策略；</w:t>
      </w:r>
    </w:p>
    <w:p>
      <w:pPr>
        <w:pStyle w:val="28"/>
        <w:numPr>
          <w:ilvl w:val="0"/>
          <w:numId w:val="0"/>
        </w:numPr>
        <w:rPr>
          <w:rFonts w:hint="eastAsia" w:ascii="Times New Roman" w:hAnsi="Times New Roman" w:eastAsia="宋体" w:cs="Times New Roman"/>
          <w:kern w:val="2"/>
          <w:sz w:val="24"/>
          <w:szCs w:val="24"/>
          <w:highlight w:val="none"/>
          <w:lang w:val="en-GB" w:eastAsia="zh-CN" w:bidi="ar-SA"/>
        </w:rPr>
      </w:pPr>
      <w:r>
        <w:rPr>
          <w:rFonts w:hint="eastAsia" w:cs="Times New Roman"/>
          <w:kern w:val="2"/>
          <w:sz w:val="24"/>
          <w:szCs w:val="24"/>
          <w:highlight w:val="none"/>
          <w:lang w:val="en-GB" w:eastAsia="zh-CN" w:bidi="ar-SA"/>
        </w:rPr>
        <w:t>（</w:t>
      </w:r>
      <w:r>
        <w:rPr>
          <w:rFonts w:hint="eastAsia" w:cs="Times New Roman"/>
          <w:kern w:val="2"/>
          <w:sz w:val="24"/>
          <w:szCs w:val="24"/>
          <w:highlight w:val="none"/>
          <w:lang w:val="en-US" w:eastAsia="zh-CN" w:bidi="ar-SA"/>
        </w:rPr>
        <w:t>2</w:t>
      </w:r>
      <w:r>
        <w:rPr>
          <w:rFonts w:hint="eastAsia" w:cs="Times New Roman"/>
          <w:kern w:val="2"/>
          <w:sz w:val="24"/>
          <w:szCs w:val="24"/>
          <w:highlight w:val="none"/>
          <w:lang w:val="en-GB" w:eastAsia="zh-CN" w:bidi="ar-SA"/>
        </w:rPr>
        <w:t>）</w:t>
      </w:r>
      <w:r>
        <w:rPr>
          <w:rFonts w:hint="eastAsia" w:ascii="Times New Roman" w:hAnsi="Times New Roman" w:eastAsia="宋体" w:cs="Times New Roman"/>
          <w:kern w:val="2"/>
          <w:sz w:val="24"/>
          <w:szCs w:val="24"/>
          <w:highlight w:val="none"/>
          <w:lang w:val="en-GB" w:eastAsia="zh-CN" w:bidi="ar-SA"/>
        </w:rPr>
        <w:t>基于系统组织结构实现用户统一管理机制；</w:t>
      </w:r>
    </w:p>
    <w:p>
      <w:pPr>
        <w:pStyle w:val="28"/>
        <w:numPr>
          <w:ilvl w:val="0"/>
          <w:numId w:val="0"/>
        </w:numPr>
        <w:rPr>
          <w:rFonts w:hint="eastAsia" w:ascii="Times New Roman" w:hAnsi="Times New Roman" w:eastAsia="宋体" w:cs="Times New Roman"/>
          <w:kern w:val="2"/>
          <w:sz w:val="24"/>
          <w:szCs w:val="24"/>
          <w:highlight w:val="none"/>
          <w:lang w:val="en-GB" w:eastAsia="zh-CN" w:bidi="ar-SA"/>
        </w:rPr>
      </w:pPr>
      <w:r>
        <w:rPr>
          <w:rFonts w:hint="eastAsia" w:cs="Times New Roman"/>
          <w:kern w:val="2"/>
          <w:sz w:val="24"/>
          <w:szCs w:val="24"/>
          <w:highlight w:val="none"/>
          <w:lang w:val="en-GB" w:eastAsia="zh-CN" w:bidi="ar-SA"/>
        </w:rPr>
        <w:t>（</w:t>
      </w:r>
      <w:r>
        <w:rPr>
          <w:rFonts w:hint="eastAsia" w:cs="Times New Roman"/>
          <w:kern w:val="2"/>
          <w:sz w:val="24"/>
          <w:szCs w:val="24"/>
          <w:highlight w:val="none"/>
          <w:lang w:val="en-US" w:eastAsia="zh-CN" w:bidi="ar-SA"/>
        </w:rPr>
        <w:t>3</w:t>
      </w:r>
      <w:r>
        <w:rPr>
          <w:rFonts w:hint="eastAsia" w:cs="Times New Roman"/>
          <w:kern w:val="2"/>
          <w:sz w:val="24"/>
          <w:szCs w:val="24"/>
          <w:highlight w:val="none"/>
          <w:lang w:val="en-GB" w:eastAsia="zh-CN" w:bidi="ar-SA"/>
        </w:rPr>
        <w:t>）</w:t>
      </w:r>
      <w:r>
        <w:rPr>
          <w:rFonts w:hint="eastAsia" w:ascii="Times New Roman" w:hAnsi="Times New Roman" w:eastAsia="宋体" w:cs="Times New Roman"/>
          <w:kern w:val="2"/>
          <w:sz w:val="24"/>
          <w:szCs w:val="24"/>
          <w:highlight w:val="none"/>
          <w:lang w:val="en-GB" w:eastAsia="zh-CN" w:bidi="ar-SA"/>
        </w:rPr>
        <w:t>需具有操作日志监控功能，实时监控用户系统操作的情况</w:t>
      </w:r>
      <w:r>
        <w:rPr>
          <w:rFonts w:hint="eastAsia" w:cs="Times New Roman"/>
          <w:kern w:val="2"/>
          <w:sz w:val="24"/>
          <w:szCs w:val="24"/>
          <w:highlight w:val="none"/>
          <w:lang w:val="en-GB" w:eastAsia="zh-CN" w:bidi="ar-SA"/>
        </w:rPr>
        <w:t>；</w:t>
      </w:r>
    </w:p>
    <w:p>
      <w:pPr>
        <w:pStyle w:val="28"/>
        <w:numPr>
          <w:ilvl w:val="0"/>
          <w:numId w:val="0"/>
        </w:numPr>
        <w:rPr>
          <w:rFonts w:hint="eastAsia" w:ascii="Times New Roman" w:hAnsi="Times New Roman" w:eastAsia="宋体" w:cs="Times New Roman"/>
          <w:kern w:val="2"/>
          <w:sz w:val="24"/>
          <w:szCs w:val="24"/>
          <w:highlight w:val="none"/>
          <w:lang w:val="en-GB" w:eastAsia="zh-CN" w:bidi="ar-SA"/>
        </w:rPr>
      </w:pPr>
      <w:r>
        <w:rPr>
          <w:rFonts w:hint="eastAsia" w:cs="Times New Roman"/>
          <w:kern w:val="2"/>
          <w:sz w:val="24"/>
          <w:szCs w:val="24"/>
          <w:highlight w:val="none"/>
          <w:lang w:val="en-GB" w:eastAsia="zh-CN" w:bidi="ar-SA"/>
        </w:rPr>
        <w:t>（</w:t>
      </w:r>
      <w:r>
        <w:rPr>
          <w:rFonts w:hint="eastAsia" w:cs="Times New Roman"/>
          <w:kern w:val="2"/>
          <w:sz w:val="24"/>
          <w:szCs w:val="24"/>
          <w:highlight w:val="none"/>
          <w:lang w:val="en-US" w:eastAsia="zh-CN" w:bidi="ar-SA"/>
        </w:rPr>
        <w:t>4</w:t>
      </w:r>
      <w:r>
        <w:rPr>
          <w:rFonts w:hint="eastAsia" w:cs="Times New Roman"/>
          <w:kern w:val="2"/>
          <w:sz w:val="24"/>
          <w:szCs w:val="24"/>
          <w:highlight w:val="none"/>
          <w:lang w:val="en-GB" w:eastAsia="zh-CN" w:bidi="ar-SA"/>
        </w:rPr>
        <w:t>）</w:t>
      </w:r>
      <w:r>
        <w:rPr>
          <w:rFonts w:hint="eastAsia" w:ascii="Times New Roman" w:hAnsi="Times New Roman" w:eastAsia="宋体" w:cs="Times New Roman"/>
          <w:kern w:val="2"/>
          <w:sz w:val="24"/>
          <w:szCs w:val="24"/>
          <w:highlight w:val="none"/>
          <w:lang w:val="en-GB" w:eastAsia="zh-CN" w:bidi="ar-SA"/>
        </w:rPr>
        <w:t>系统数据存储具备的安全性保障，关键数据的加密功能；</w:t>
      </w:r>
    </w:p>
    <w:p>
      <w:pPr>
        <w:pStyle w:val="28"/>
        <w:numPr>
          <w:ilvl w:val="0"/>
          <w:numId w:val="0"/>
        </w:numPr>
        <w:rPr>
          <w:highlight w:val="none"/>
        </w:rPr>
      </w:pPr>
      <w:r>
        <w:rPr>
          <w:rFonts w:hint="eastAsia" w:cs="Times New Roman"/>
          <w:kern w:val="2"/>
          <w:sz w:val="24"/>
          <w:szCs w:val="24"/>
          <w:highlight w:val="none"/>
          <w:lang w:val="en-GB" w:eastAsia="zh-CN" w:bidi="ar-SA"/>
        </w:rPr>
        <w:t>（</w:t>
      </w:r>
      <w:r>
        <w:rPr>
          <w:rFonts w:hint="eastAsia" w:cs="Times New Roman"/>
          <w:kern w:val="2"/>
          <w:sz w:val="24"/>
          <w:szCs w:val="24"/>
          <w:highlight w:val="none"/>
          <w:lang w:val="en-US" w:eastAsia="zh-CN" w:bidi="ar-SA"/>
        </w:rPr>
        <w:t>5</w:t>
      </w:r>
      <w:r>
        <w:rPr>
          <w:rFonts w:hint="eastAsia" w:cs="Times New Roman"/>
          <w:kern w:val="2"/>
          <w:sz w:val="24"/>
          <w:szCs w:val="24"/>
          <w:highlight w:val="none"/>
          <w:lang w:val="en-GB" w:eastAsia="zh-CN" w:bidi="ar-SA"/>
        </w:rPr>
        <w:t>）</w:t>
      </w:r>
      <w:r>
        <w:rPr>
          <w:rFonts w:hint="eastAsia" w:ascii="Times New Roman" w:hAnsi="Times New Roman" w:eastAsia="宋体" w:cs="Times New Roman"/>
          <w:kern w:val="2"/>
          <w:sz w:val="24"/>
          <w:szCs w:val="24"/>
          <w:highlight w:val="none"/>
          <w:lang w:val="en-GB" w:eastAsia="zh-CN" w:bidi="ar-SA"/>
        </w:rPr>
        <w:t>系统具备完整的备份及恢复机制，可以充分保证数据库数据备份和恢复的安全性、一致性和完整性。</w:t>
      </w:r>
      <w:bookmarkStart w:id="134" w:name="_Toc29429"/>
    </w:p>
    <w:p>
      <w:pPr>
        <w:pStyle w:val="3"/>
        <w:numPr>
          <w:ilvl w:val="0"/>
          <w:numId w:val="0"/>
        </w:numPr>
        <w:spacing w:before="156" w:after="156"/>
        <w:rPr>
          <w:highlight w:val="none"/>
        </w:rPr>
      </w:pPr>
      <w:bookmarkStart w:id="135" w:name="_Toc10311"/>
      <w:r>
        <w:rPr>
          <w:rFonts w:hint="eastAsia"/>
          <w:highlight w:val="none"/>
          <w:lang w:val="en-US"/>
        </w:rPr>
        <w:t>7、</w:t>
      </w:r>
      <w:r>
        <w:rPr>
          <w:rFonts w:hint="eastAsia"/>
          <w:highlight w:val="none"/>
        </w:rPr>
        <w:t>硬件要求（</w:t>
      </w:r>
      <w:r>
        <w:rPr>
          <w:rFonts w:hint="eastAsia"/>
          <w:highlight w:val="none"/>
          <w:lang w:val="en-US"/>
        </w:rPr>
        <w:t>以工程量清单内容为准</w:t>
      </w:r>
      <w:r>
        <w:rPr>
          <w:rFonts w:hint="eastAsia"/>
          <w:highlight w:val="none"/>
        </w:rPr>
        <w:t>）</w:t>
      </w:r>
      <w:bookmarkEnd w:id="135"/>
    </w:p>
    <w:p>
      <w:pPr>
        <w:pStyle w:val="2"/>
        <w:numPr>
          <w:ilvl w:val="1"/>
          <w:numId w:val="0"/>
        </w:numPr>
        <w:rPr>
          <w:highlight w:val="none"/>
          <w:lang w:val="en-US"/>
        </w:rPr>
      </w:pPr>
      <w:bookmarkStart w:id="136" w:name="_Toc7922"/>
      <w:r>
        <w:rPr>
          <w:rFonts w:hint="eastAsia"/>
          <w:highlight w:val="none"/>
          <w:lang w:val="en-US"/>
        </w:rPr>
        <w:t>7.1、中心控制室</w:t>
      </w:r>
      <w:bookmarkEnd w:id="136"/>
    </w:p>
    <w:p>
      <w:pPr>
        <w:pStyle w:val="4"/>
        <w:numPr>
          <w:ilvl w:val="2"/>
          <w:numId w:val="0"/>
        </w:numPr>
        <w:rPr>
          <w:highlight w:val="none"/>
        </w:rPr>
      </w:pPr>
      <w:bookmarkStart w:id="137" w:name="_Toc9290"/>
      <w:bookmarkStart w:id="138" w:name="_Toc25497"/>
      <w:r>
        <w:rPr>
          <w:rFonts w:hint="eastAsia"/>
          <w:highlight w:val="none"/>
        </w:rPr>
        <w:t>7.1.1、系统方案概述</w:t>
      </w:r>
      <w:bookmarkEnd w:id="137"/>
      <w:bookmarkEnd w:id="138"/>
    </w:p>
    <w:p>
      <w:pPr>
        <w:pStyle w:val="28"/>
        <w:numPr>
          <w:ilvl w:val="0"/>
          <w:numId w:val="0"/>
        </w:numPr>
        <w:ind w:firstLine="480" w:firstLineChars="200"/>
        <w:rPr>
          <w:kern w:val="0"/>
          <w:sz w:val="24"/>
          <w:highlight w:val="none"/>
          <w:lang w:bidi="ar"/>
        </w:rPr>
      </w:pPr>
      <w:r>
        <w:rPr>
          <w:rFonts w:hint="eastAsia"/>
          <w:kern w:val="0"/>
          <w:sz w:val="24"/>
          <w:highlight w:val="none"/>
          <w:lang w:bidi="ar"/>
        </w:rPr>
        <w:t>本</w:t>
      </w:r>
      <w:r>
        <w:rPr>
          <w:rFonts w:hint="eastAsia" w:ascii="Times New Roman" w:hAnsi="Times New Roman" w:eastAsia="宋体" w:cs="Times New Roman"/>
          <w:kern w:val="2"/>
          <w:sz w:val="24"/>
          <w:szCs w:val="24"/>
          <w:highlight w:val="none"/>
          <w:lang w:val="en-GB" w:eastAsia="zh-CN" w:bidi="ar-SA"/>
        </w:rPr>
        <w:t>项目</w:t>
      </w:r>
      <w:r>
        <w:rPr>
          <w:rFonts w:hint="eastAsia"/>
          <w:kern w:val="0"/>
          <w:sz w:val="24"/>
          <w:highlight w:val="none"/>
          <w:lang w:bidi="ar"/>
        </w:rPr>
        <w:t>拟建设智慧工地中心控制室，具体建设内容如下：</w:t>
      </w:r>
    </w:p>
    <w:p>
      <w:pPr>
        <w:pStyle w:val="23"/>
        <w:keepNext w:val="0"/>
        <w:keepLines w:val="0"/>
        <w:pageBreakBefore w:val="0"/>
        <w:widowControl w:val="0"/>
        <w:numPr>
          <w:ilvl w:val="0"/>
          <w:numId w:val="6"/>
        </w:numPr>
        <w:tabs>
          <w:tab w:val="left" w:pos="637"/>
          <w:tab w:val="left" w:pos="638"/>
        </w:tabs>
        <w:kinsoku/>
        <w:wordWrap/>
        <w:overflowPunct/>
        <w:topLinePunct w:val="0"/>
        <w:autoSpaceDE w:val="0"/>
        <w:autoSpaceDN w:val="0"/>
        <w:bidi w:val="0"/>
        <w:adjustRightInd/>
        <w:snapToGrid/>
        <w:spacing w:line="360" w:lineRule="auto"/>
        <w:ind w:left="0" w:leftChars="0" w:right="0" w:firstLine="0" w:firstLineChars="0"/>
        <w:contextualSpacing w:val="0"/>
        <w:jc w:val="left"/>
        <w:textAlignment w:val="auto"/>
        <w:rPr>
          <w:kern w:val="0"/>
          <w:sz w:val="24"/>
          <w:highlight w:val="none"/>
          <w:lang w:bidi="ar"/>
        </w:rPr>
      </w:pPr>
      <w:r>
        <w:rPr>
          <w:rFonts w:hint="eastAsia"/>
          <w:kern w:val="0"/>
          <w:sz w:val="24"/>
          <w:highlight w:val="none"/>
          <w:lang w:bidi="ar"/>
        </w:rPr>
        <w:t>投标方负责中心控制室的装饰装修工程，包括电源、网络、照面、地板、墙面、标识标牌等装饰服务。</w:t>
      </w:r>
    </w:p>
    <w:p>
      <w:pPr>
        <w:pStyle w:val="23"/>
        <w:keepNext w:val="0"/>
        <w:keepLines w:val="0"/>
        <w:pageBreakBefore w:val="0"/>
        <w:widowControl w:val="0"/>
        <w:numPr>
          <w:ilvl w:val="0"/>
          <w:numId w:val="6"/>
        </w:numPr>
        <w:tabs>
          <w:tab w:val="left" w:pos="637"/>
          <w:tab w:val="left" w:pos="638"/>
        </w:tabs>
        <w:kinsoku/>
        <w:wordWrap/>
        <w:overflowPunct/>
        <w:topLinePunct w:val="0"/>
        <w:autoSpaceDE w:val="0"/>
        <w:autoSpaceDN w:val="0"/>
        <w:bidi w:val="0"/>
        <w:adjustRightInd/>
        <w:snapToGrid/>
        <w:spacing w:line="360" w:lineRule="auto"/>
        <w:ind w:left="0" w:leftChars="0" w:right="0" w:firstLine="0" w:firstLineChars="0"/>
        <w:contextualSpacing w:val="0"/>
        <w:jc w:val="left"/>
        <w:textAlignment w:val="auto"/>
        <w:rPr>
          <w:rFonts w:hint="eastAsia"/>
          <w:kern w:val="0"/>
          <w:sz w:val="24"/>
          <w:highlight w:val="none"/>
          <w:lang w:bidi="ar"/>
        </w:rPr>
      </w:pPr>
      <w:r>
        <w:rPr>
          <w:rFonts w:hint="eastAsia"/>
          <w:kern w:val="0"/>
          <w:sz w:val="24"/>
          <w:highlight w:val="none"/>
          <w:lang w:bidi="ar"/>
        </w:rPr>
        <w:t>中心控制室内设置</w:t>
      </w:r>
      <w:r>
        <w:rPr>
          <w:rFonts w:hint="eastAsia"/>
          <w:kern w:val="0"/>
          <w:sz w:val="24"/>
          <w:highlight w:val="none"/>
          <w:lang w:val="en-US" w:eastAsia="zh-CN" w:bidi="ar"/>
        </w:rPr>
        <w:t>2</w:t>
      </w:r>
      <w:r>
        <w:rPr>
          <w:rFonts w:hint="eastAsia"/>
          <w:kern w:val="0"/>
          <w:sz w:val="24"/>
          <w:highlight w:val="none"/>
          <w:lang w:bidi="ar"/>
        </w:rPr>
        <w:t>套控制台， 配置</w:t>
      </w:r>
      <w:r>
        <w:rPr>
          <w:rFonts w:hint="eastAsia"/>
          <w:kern w:val="0"/>
          <w:sz w:val="24"/>
          <w:highlight w:val="none"/>
          <w:lang w:val="en-US" w:eastAsia="zh-CN" w:bidi="ar"/>
        </w:rPr>
        <w:t>2</w:t>
      </w:r>
      <w:r>
        <w:rPr>
          <w:rFonts w:hint="eastAsia"/>
          <w:kern w:val="0"/>
          <w:sz w:val="24"/>
          <w:highlight w:val="none"/>
          <w:lang w:bidi="ar"/>
        </w:rPr>
        <w:t>套办公电脑和办公椅子等。</w:t>
      </w:r>
    </w:p>
    <w:p>
      <w:pPr>
        <w:pStyle w:val="23"/>
        <w:keepNext w:val="0"/>
        <w:keepLines w:val="0"/>
        <w:pageBreakBefore w:val="0"/>
        <w:widowControl w:val="0"/>
        <w:numPr>
          <w:ilvl w:val="0"/>
          <w:numId w:val="6"/>
        </w:numPr>
        <w:tabs>
          <w:tab w:val="left" w:pos="637"/>
          <w:tab w:val="left" w:pos="638"/>
        </w:tabs>
        <w:kinsoku/>
        <w:wordWrap/>
        <w:overflowPunct/>
        <w:topLinePunct w:val="0"/>
        <w:autoSpaceDE w:val="0"/>
        <w:autoSpaceDN w:val="0"/>
        <w:bidi w:val="0"/>
        <w:adjustRightInd/>
        <w:snapToGrid/>
        <w:spacing w:line="360" w:lineRule="auto"/>
        <w:ind w:left="0" w:leftChars="0" w:right="0" w:firstLine="0" w:firstLineChars="0"/>
        <w:contextualSpacing w:val="0"/>
        <w:jc w:val="left"/>
        <w:textAlignment w:val="auto"/>
        <w:rPr>
          <w:rFonts w:hint="eastAsia"/>
          <w:kern w:val="0"/>
          <w:sz w:val="24"/>
          <w:highlight w:val="none"/>
          <w:lang w:bidi="ar"/>
        </w:rPr>
      </w:pPr>
      <w:r>
        <w:rPr>
          <w:rFonts w:hint="eastAsia"/>
          <w:kern w:val="0"/>
          <w:sz w:val="24"/>
          <w:highlight w:val="none"/>
          <w:lang w:bidi="ar"/>
        </w:rPr>
        <w:t>需配置</w:t>
      </w:r>
      <w:r>
        <w:rPr>
          <w:rFonts w:hint="eastAsia"/>
          <w:kern w:val="0"/>
          <w:sz w:val="24"/>
          <w:highlight w:val="none"/>
          <w:lang w:val="en-US" w:eastAsia="zh-CN" w:bidi="ar"/>
        </w:rPr>
        <w:t>2</w:t>
      </w:r>
      <w:r>
        <w:rPr>
          <w:rFonts w:hint="eastAsia"/>
          <w:kern w:val="0"/>
          <w:sz w:val="24"/>
          <w:highlight w:val="none"/>
          <w:lang w:bidi="ar"/>
        </w:rPr>
        <w:t>套 800×960×2000 的机柜用于存储服务器、磁盘阵列、交换机等应用设备。</w:t>
      </w:r>
    </w:p>
    <w:p>
      <w:pPr>
        <w:pStyle w:val="4"/>
        <w:numPr>
          <w:ilvl w:val="2"/>
          <w:numId w:val="0"/>
        </w:numPr>
        <w:rPr>
          <w:highlight w:val="none"/>
        </w:rPr>
      </w:pPr>
      <w:bookmarkStart w:id="139" w:name="_Toc25308"/>
      <w:bookmarkStart w:id="140" w:name="_Toc24749"/>
      <w:r>
        <w:rPr>
          <w:rFonts w:hint="eastAsia"/>
          <w:highlight w:val="none"/>
        </w:rPr>
        <w:t>7.1.2、设备参数：</w:t>
      </w:r>
      <w:bookmarkEnd w:id="139"/>
      <w:bookmarkEnd w:id="140"/>
    </w:p>
    <w:p>
      <w:pPr>
        <w:bidi w:val="0"/>
        <w:rPr>
          <w:rFonts w:hint="eastAsia"/>
        </w:rPr>
      </w:pPr>
      <w:r>
        <w:rPr>
          <w:rFonts w:hint="eastAsia"/>
          <w:lang w:val="en-US" w:eastAsia="zh-CN"/>
        </w:rPr>
        <w:t>1</w:t>
      </w:r>
      <w:r>
        <w:rPr>
          <w:rFonts w:hint="eastAsia"/>
        </w:rPr>
        <w:t>、存储服务器</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8U机架式48盘位网络存储设备，搭载64位多核处理器，1+1冗余电源、冗余风扇，实现7×24小时稳定运行</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处理器：1颗64位多核处理器，系统内存：≥8GB（可扩展至64GB）</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系统盘：≥1×240GB SSD，存储接口：≥48个SATA接口，支持硬盘热插拔</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网络接口：≥2个千兆数据网口，≥1个千兆管理口</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其他接口：≥1×COM，≥2×USB2.0，≥2×USB3.0，≥1×VGA</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整机电源：1200W，1+1冗余电源</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视频性能：最大支持接入550路（最大接入带宽1100Mbps）</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支持视频流直写、图片直写</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支持ONVIF、GB/T 28181、RTSP等标准协议，支持VRAID、RAID0、1、5、6、10等多种RAID模式</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支持RAID降级可读写(VRAID)，支持全局热备(RAID0、1、5、6、10)，多重保护数据安全</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支持RAID即建即用，支持存储空间扩展，支持局部重构，原盘或其克隆盘拔出设备后再插回，未被覆盖数据可快速恢复</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支持定时录像、事件录像、手动录像等多种录像方式，支持视频检索功能，按照监控点编号、录像类型、时间组合等条件查询</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支持录像数据恢复功能，当硬盘的录像索引区域被破坏导致无法查询并回放录像文件时，样机可重新建立录像索引区，使录像文件可被正常查询并回放，支持切换标准RAID模式和VRAID模式，适用于不同业务场景，</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可对磁盘温度异常、硬件链路异常、风扇转速异常、扇区介质异常进行监控，当发现异常情况时，可发出声光电指示，支持红灯/蓝灯报警，可根据故障紧急程度分级报警，不同级别闪烁不同颜色故障灯</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支持视频回放功能：正序回放、定位回放、倍速回放等功能</w:t>
      </w:r>
    </w:p>
    <w:p>
      <w:pPr>
        <w:pStyle w:val="5"/>
        <w:keepNext w:val="0"/>
        <w:keepLines w:val="0"/>
        <w:pageBreakBefore w:val="0"/>
        <w:widowControl w:val="0"/>
        <w:numPr>
          <w:ilvl w:val="0"/>
          <w:numId w:val="7"/>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 xml:space="preserve">支持按需取流功能，未处于录像计划时间内的通道不占用网络带宽 </w:t>
      </w:r>
    </w:p>
    <w:p>
      <w:pPr>
        <w:numPr>
          <w:ilvl w:val="0"/>
          <w:numId w:val="0"/>
        </w:numPr>
        <w:bidi w:val="0"/>
        <w:ind w:firstLine="420" w:firstLineChars="200"/>
      </w:pPr>
      <w:r>
        <w:rPr>
          <w:rFonts w:hint="eastAsia"/>
          <w:lang w:val="en-US" w:eastAsia="zh-CN"/>
        </w:rPr>
        <w:t>2、</w:t>
      </w:r>
      <w:r>
        <w:rPr>
          <w:rFonts w:hint="eastAsia"/>
        </w:rPr>
        <w:t>网络硬盘</w:t>
      </w:r>
    </w:p>
    <w:p>
      <w:pPr>
        <w:pStyle w:val="5"/>
        <w:keepNext w:val="0"/>
        <w:keepLines w:val="0"/>
        <w:pageBreakBefore w:val="0"/>
        <w:widowControl w:val="0"/>
        <w:numPr>
          <w:ilvl w:val="0"/>
          <w:numId w:val="8"/>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10TB容量，3.5英寸外形尺寸和SATA3.0接口，7200RPM空气盘， CMR传统磁记录</w:t>
      </w:r>
    </w:p>
    <w:p>
      <w:pPr>
        <w:pStyle w:val="5"/>
        <w:keepNext w:val="0"/>
        <w:keepLines w:val="0"/>
        <w:pageBreakBefore w:val="0"/>
        <w:widowControl w:val="0"/>
        <w:numPr>
          <w:ilvl w:val="0"/>
          <w:numId w:val="8"/>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传输速率263MB/s，流畅存储视频有效防止丢帧</w:t>
      </w:r>
    </w:p>
    <w:p>
      <w:pPr>
        <w:pStyle w:val="5"/>
        <w:keepNext w:val="0"/>
        <w:keepLines w:val="0"/>
        <w:pageBreakBefore w:val="0"/>
        <w:widowControl w:val="0"/>
        <w:numPr>
          <w:ilvl w:val="0"/>
          <w:numId w:val="8"/>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MTBF可达2,000,000小时</w:t>
      </w:r>
    </w:p>
    <w:p>
      <w:pPr>
        <w:pStyle w:val="5"/>
        <w:keepNext w:val="0"/>
        <w:keepLines w:val="0"/>
        <w:pageBreakBefore w:val="0"/>
        <w:widowControl w:val="0"/>
        <w:numPr>
          <w:ilvl w:val="0"/>
          <w:numId w:val="8"/>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高级格式（AF）512e扇区技术，保障硬盘扇区4K对齐</w:t>
      </w:r>
    </w:p>
    <w:p>
      <w:pPr>
        <w:pStyle w:val="5"/>
        <w:keepNext w:val="0"/>
        <w:keepLines w:val="0"/>
        <w:pageBreakBefore w:val="0"/>
        <w:widowControl w:val="0"/>
        <w:numPr>
          <w:ilvl w:val="0"/>
          <w:numId w:val="8"/>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sz w:val="24"/>
          <w:szCs w:val="32"/>
          <w:highlight w:val="none"/>
        </w:rPr>
        <w:t>满足数据严苛的7*24小时运行可靠性、安全性的需求</w:t>
      </w:r>
    </w:p>
    <w:p>
      <w:pPr>
        <w:numPr>
          <w:ilvl w:val="0"/>
          <w:numId w:val="9"/>
        </w:numPr>
        <w:bidi w:val="0"/>
        <w:rPr>
          <w:rFonts w:hint="eastAsia"/>
        </w:rPr>
      </w:pPr>
      <w:r>
        <w:rPr>
          <w:rFonts w:hint="eastAsia"/>
        </w:rPr>
        <w:t>安防平台软件</w:t>
      </w:r>
    </w:p>
    <w:tbl>
      <w:tblPr>
        <w:tblStyle w:val="15"/>
        <w:tblW w:w="4997" w:type="pct"/>
        <w:jc w:val="center"/>
        <w:tblLayout w:type="autofit"/>
        <w:tblCellMar>
          <w:top w:w="0" w:type="dxa"/>
          <w:left w:w="108" w:type="dxa"/>
          <w:bottom w:w="0" w:type="dxa"/>
          <w:right w:w="108" w:type="dxa"/>
        </w:tblCellMar>
      </w:tblPr>
      <w:tblGrid>
        <w:gridCol w:w="768"/>
        <w:gridCol w:w="1488"/>
        <w:gridCol w:w="7026"/>
      </w:tblGrid>
      <w:tr>
        <w:tblPrEx>
          <w:tblCellMar>
            <w:top w:w="0" w:type="dxa"/>
            <w:left w:w="108" w:type="dxa"/>
            <w:bottom w:w="0" w:type="dxa"/>
            <w:right w:w="108" w:type="dxa"/>
          </w:tblCellMar>
        </w:tblPrEx>
        <w:trPr>
          <w:trHeight w:val="271"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bCs/>
                <w:kern w:val="0"/>
                <w:sz w:val="21"/>
                <w:szCs w:val="21"/>
                <w:highlight w:val="none"/>
                <w:lang w:val="en-US" w:eastAsia="zh-CN" w:bidi="ar"/>
              </w:rPr>
            </w:pPr>
            <w:r>
              <w:rPr>
                <w:rFonts w:hint="eastAsia" w:ascii="Times New Roman" w:hAnsi="Times New Roman" w:eastAsia="宋体" w:cs="宋体"/>
                <w:b/>
                <w:bCs/>
                <w:kern w:val="0"/>
                <w:sz w:val="21"/>
                <w:szCs w:val="21"/>
                <w:highlight w:val="none"/>
                <w:lang w:val="en-US" w:eastAsia="zh-CN" w:bidi="ar"/>
              </w:rPr>
              <w:t>序号</w:t>
            </w:r>
          </w:p>
        </w:tc>
        <w:tc>
          <w:tcPr>
            <w:tcW w:w="8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bCs/>
                <w:kern w:val="0"/>
                <w:sz w:val="21"/>
                <w:szCs w:val="21"/>
                <w:highlight w:val="none"/>
                <w:lang w:val="en-US" w:eastAsia="zh-CN" w:bidi="ar"/>
              </w:rPr>
            </w:pPr>
            <w:r>
              <w:rPr>
                <w:rFonts w:hint="eastAsia" w:ascii="Times New Roman" w:hAnsi="Times New Roman" w:eastAsia="宋体" w:cs="宋体"/>
                <w:b/>
                <w:bCs/>
                <w:kern w:val="0"/>
                <w:sz w:val="21"/>
                <w:szCs w:val="21"/>
                <w:highlight w:val="none"/>
                <w:lang w:val="en-US" w:eastAsia="zh-CN" w:bidi="ar"/>
              </w:rPr>
              <w:t>名称</w:t>
            </w:r>
          </w:p>
        </w:tc>
        <w:tc>
          <w:tcPr>
            <w:tcW w:w="37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bCs/>
                <w:kern w:val="0"/>
                <w:sz w:val="21"/>
                <w:szCs w:val="21"/>
                <w:highlight w:val="none"/>
                <w:lang w:val="en-US" w:eastAsia="zh-CN" w:bidi="ar"/>
              </w:rPr>
            </w:pPr>
            <w:r>
              <w:rPr>
                <w:rFonts w:hint="eastAsia" w:ascii="Times New Roman" w:hAnsi="Times New Roman" w:eastAsia="宋体" w:cs="宋体"/>
                <w:b/>
                <w:bCs/>
                <w:kern w:val="0"/>
                <w:sz w:val="21"/>
                <w:szCs w:val="21"/>
                <w:highlight w:val="none"/>
                <w:lang w:val="en-US" w:eastAsia="zh-CN" w:bidi="ar"/>
              </w:rPr>
              <w:t>技术要求</w:t>
            </w:r>
          </w:p>
        </w:tc>
      </w:tr>
      <w:tr>
        <w:tblPrEx>
          <w:tblCellMar>
            <w:top w:w="0" w:type="dxa"/>
            <w:left w:w="108" w:type="dxa"/>
            <w:bottom w:w="0" w:type="dxa"/>
            <w:right w:w="108" w:type="dxa"/>
          </w:tblCellMar>
        </w:tblPrEx>
        <w:trPr>
          <w:trHeight w:val="9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r>
              <w:rPr>
                <w:rFonts w:hint="eastAsia" w:ascii="Times New Roman" w:hAnsi="Times New Roman" w:eastAsia="宋体" w:cs="宋体"/>
                <w:b w:val="0"/>
                <w:bCs w:val="0"/>
                <w:kern w:val="0"/>
                <w:sz w:val="21"/>
                <w:szCs w:val="21"/>
                <w:highlight w:val="none"/>
                <w:lang w:val="en-US" w:eastAsia="zh-CN" w:bidi="ar"/>
              </w:rPr>
              <w:t>1</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r>
              <w:rPr>
                <w:rFonts w:hint="eastAsia" w:ascii="Times New Roman" w:hAnsi="Times New Roman" w:eastAsia="宋体" w:cs="宋体"/>
                <w:b w:val="0"/>
                <w:bCs w:val="0"/>
                <w:kern w:val="0"/>
                <w:sz w:val="21"/>
                <w:szCs w:val="21"/>
                <w:highlight w:val="none"/>
                <w:lang w:val="en-US" w:eastAsia="zh-CN" w:bidi="ar"/>
              </w:rPr>
              <w:t>基础应用</w:t>
            </w:r>
          </w:p>
        </w:tc>
        <w:tc>
          <w:tcPr>
            <w:tcW w:w="3783" w:type="pct"/>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left"/>
              <w:textAlignment w:val="center"/>
              <w:rPr>
                <w:rFonts w:hint="eastAsia" w:ascii="Times New Roman" w:hAnsi="Times New Roman" w:eastAsia="宋体" w:cs="宋体"/>
                <w:b w:val="0"/>
                <w:bCs w:val="0"/>
                <w:kern w:val="0"/>
                <w:sz w:val="21"/>
                <w:szCs w:val="21"/>
                <w:highlight w:val="none"/>
                <w:lang w:val="en-US" w:eastAsia="zh-CN" w:bidi="ar"/>
              </w:rPr>
            </w:pPr>
            <w:r>
              <w:rPr>
                <w:rFonts w:hint="eastAsia" w:ascii="Times New Roman" w:hAnsi="Times New Roman" w:eastAsia="宋体" w:cs="宋体"/>
                <w:b w:val="0"/>
                <w:bCs w:val="0"/>
                <w:kern w:val="0"/>
                <w:sz w:val="21"/>
                <w:szCs w:val="21"/>
                <w:highlight w:val="none"/>
                <w:lang w:val="en-US" w:eastAsia="zh-CN" w:bidi="ar"/>
              </w:rPr>
              <w:t>本次系统建设提供一套智能物联工地管理平台，实现统一管理视频监控、一卡通、车辆管控、报警检测、综合管控等应用。实现工地期间的安防系统的智能化应用及统一集成化管理。</w:t>
            </w:r>
          </w:p>
        </w:tc>
      </w:tr>
      <w:tr>
        <w:tblPrEx>
          <w:tblCellMar>
            <w:top w:w="0" w:type="dxa"/>
            <w:left w:w="108" w:type="dxa"/>
            <w:bottom w:w="0" w:type="dxa"/>
            <w:right w:w="108" w:type="dxa"/>
          </w:tblCellMar>
        </w:tblPrEx>
        <w:trPr>
          <w:trHeight w:val="556" w:hRule="atLeast"/>
          <w:jc w:val="center"/>
        </w:trPr>
        <w:tc>
          <w:tcPr>
            <w:tcW w:w="4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r>
              <w:rPr>
                <w:rFonts w:hint="eastAsia" w:ascii="Times New Roman" w:hAnsi="Times New Roman" w:eastAsia="宋体" w:cs="宋体"/>
                <w:b w:val="0"/>
                <w:bCs w:val="0"/>
                <w:kern w:val="0"/>
                <w:sz w:val="21"/>
                <w:szCs w:val="21"/>
                <w:highlight w:val="none"/>
                <w:lang w:val="en-US" w:eastAsia="zh-CN" w:bidi="ar"/>
              </w:rPr>
              <w:t>2</w:t>
            </w:r>
          </w:p>
        </w:tc>
        <w:tc>
          <w:tcPr>
            <w:tcW w:w="8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r>
              <w:rPr>
                <w:rFonts w:hint="eastAsia" w:ascii="Times New Roman" w:hAnsi="Times New Roman" w:eastAsia="宋体" w:cs="宋体"/>
                <w:b w:val="0"/>
                <w:bCs w:val="0"/>
                <w:kern w:val="0"/>
                <w:sz w:val="21"/>
                <w:szCs w:val="21"/>
                <w:highlight w:val="none"/>
                <w:lang w:val="en-US" w:eastAsia="zh-CN" w:bidi="ar"/>
              </w:rPr>
              <w:t>视频监控</w:t>
            </w:r>
          </w:p>
        </w:tc>
        <w:tc>
          <w:tcPr>
            <w:tcW w:w="3783" w:type="pct"/>
            <w:vMerge w:val="restart"/>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left"/>
              <w:textAlignment w:val="center"/>
              <w:rPr>
                <w:rFonts w:hint="eastAsia" w:ascii="Times New Roman" w:hAnsi="Times New Roman" w:eastAsia="宋体" w:cs="宋体"/>
                <w:b w:val="0"/>
                <w:bCs w:val="0"/>
                <w:kern w:val="0"/>
                <w:sz w:val="21"/>
                <w:szCs w:val="21"/>
                <w:highlight w:val="none"/>
                <w:lang w:val="en-US" w:eastAsia="zh-CN" w:bidi="ar"/>
              </w:rPr>
            </w:pPr>
            <w:r>
              <w:rPr>
                <w:rFonts w:hint="eastAsia" w:ascii="Times New Roman" w:hAnsi="Times New Roman" w:eastAsia="宋体" w:cs="宋体"/>
                <w:b w:val="0"/>
                <w:bCs w:val="0"/>
                <w:kern w:val="0"/>
                <w:sz w:val="21"/>
                <w:szCs w:val="21"/>
                <w:highlight w:val="none"/>
                <w:lang w:val="en-US" w:eastAsia="zh-CN" w:bidi="ar"/>
              </w:rPr>
              <w:t>视频应用功能，支持视频预览、录像回放、图片监控、视频上墙等功能，具体功能如下：</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1、支持视频实时预览能力，实现预览窗口布局切换、预览画面自适应及全屏切换；</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2、支持云台控制、实时抓图、紧急录像、即时回放、主子码流切换、声音开启\关闭、辅屏预览（1个辅屏）、对讲、广播、报警输出控制的能力；</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3、支持智能规则展示的能力（如：针对热成像设备温度信息实时展示）；</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4、支持资源视图管理能力，以视图形式管理监控点、视频预览轮巡等自定义资源组，其中视图类型包含公有视图和私有视图；</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5、支持全景视频监控预览能力，支持球型鹰眼、全景摄像机的全景模式；</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6、支持录像计划管理能力，支持实时录像计划、录像回传计划；</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7、支持录像回放能力，支持多画面同步回放和异步回放切换、超高倍速回放、分段回放、录像下载、录像剪辑、录像标签、录像锁定、录像抓图；</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8、支持录像计划管理能力，支持实时录像计划、录像回传计划；</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9、支持录像回放能力，支持多画面同步回放和异步回放切换、超高倍速回放、分段回放、录像下载、录像剪辑、录像标签、录像锁定、录像抓图；</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10、支持电视墙场景管理能力，实现场景窗口配置、场景切换计划配置以及轮巡计划的管理；</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11、支持上墙控制能力，实现场景一键上墙、场景切换、电视墙切换、监控点上下墙、轮巡控制操作；</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12、支持视频画面叠加水印，包括视频预览、录像回放、即时回放、录像剪辑、手动录像和录像下载时叠加</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13、支持中心存储录像计划，支持配置备份资源池，实现双备份；</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14、支持配置级联点位录像计划；</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15、支持交换机、服务器设备自动发现；支持交换机、服务器、摄像机拓扑可视化监控展现；支持拓扑告警信息查看和处理；支持的单个设备线路查看；支持拓扑编辑。</w:t>
            </w:r>
          </w:p>
        </w:tc>
      </w:tr>
      <w:tr>
        <w:tblPrEx>
          <w:tblCellMar>
            <w:top w:w="0" w:type="dxa"/>
            <w:left w:w="108" w:type="dxa"/>
            <w:bottom w:w="0" w:type="dxa"/>
            <w:right w:w="108" w:type="dxa"/>
          </w:tblCellMar>
        </w:tblPrEx>
        <w:trPr>
          <w:trHeight w:val="556" w:hRule="atLeast"/>
          <w:jc w:val="center"/>
        </w:trPr>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8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3783" w:type="pct"/>
            <w:vMerge w:val="continue"/>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left"/>
              <w:textAlignment w:val="center"/>
              <w:rPr>
                <w:rFonts w:hint="eastAsia" w:ascii="Times New Roman" w:hAnsi="Times New Roman" w:eastAsia="宋体" w:cs="宋体"/>
                <w:b w:val="0"/>
                <w:bCs w:val="0"/>
                <w:kern w:val="0"/>
                <w:sz w:val="21"/>
                <w:szCs w:val="21"/>
                <w:highlight w:val="none"/>
                <w:lang w:val="en-US" w:eastAsia="zh-CN" w:bidi="ar"/>
              </w:rPr>
            </w:pPr>
          </w:p>
        </w:tc>
      </w:tr>
      <w:tr>
        <w:tblPrEx>
          <w:tblCellMar>
            <w:top w:w="0" w:type="dxa"/>
            <w:left w:w="108" w:type="dxa"/>
            <w:bottom w:w="0" w:type="dxa"/>
            <w:right w:w="108" w:type="dxa"/>
          </w:tblCellMar>
        </w:tblPrEx>
        <w:trPr>
          <w:trHeight w:val="556" w:hRule="atLeast"/>
          <w:jc w:val="center"/>
        </w:trPr>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8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3783" w:type="pct"/>
            <w:vMerge w:val="continue"/>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left"/>
              <w:textAlignment w:val="center"/>
              <w:rPr>
                <w:rFonts w:hint="eastAsia" w:ascii="Times New Roman" w:hAnsi="Times New Roman" w:eastAsia="宋体" w:cs="宋体"/>
                <w:b w:val="0"/>
                <w:bCs w:val="0"/>
                <w:kern w:val="0"/>
                <w:sz w:val="21"/>
                <w:szCs w:val="21"/>
                <w:highlight w:val="none"/>
                <w:lang w:val="en-US" w:eastAsia="zh-CN" w:bidi="ar"/>
              </w:rPr>
            </w:pPr>
          </w:p>
        </w:tc>
      </w:tr>
      <w:tr>
        <w:tblPrEx>
          <w:tblCellMar>
            <w:top w:w="0" w:type="dxa"/>
            <w:left w:w="108" w:type="dxa"/>
            <w:bottom w:w="0" w:type="dxa"/>
            <w:right w:w="108" w:type="dxa"/>
          </w:tblCellMar>
        </w:tblPrEx>
        <w:trPr>
          <w:trHeight w:val="556" w:hRule="atLeast"/>
          <w:jc w:val="center"/>
        </w:trPr>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8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3783" w:type="pct"/>
            <w:vMerge w:val="continue"/>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left"/>
              <w:textAlignment w:val="center"/>
              <w:rPr>
                <w:rFonts w:hint="eastAsia" w:ascii="Times New Roman" w:hAnsi="Times New Roman" w:eastAsia="宋体" w:cs="宋体"/>
                <w:b w:val="0"/>
                <w:bCs w:val="0"/>
                <w:kern w:val="0"/>
                <w:sz w:val="21"/>
                <w:szCs w:val="21"/>
                <w:highlight w:val="none"/>
                <w:lang w:val="en-US" w:eastAsia="zh-CN" w:bidi="ar"/>
              </w:rPr>
            </w:pPr>
          </w:p>
        </w:tc>
      </w:tr>
      <w:tr>
        <w:tblPrEx>
          <w:tblCellMar>
            <w:top w:w="0" w:type="dxa"/>
            <w:left w:w="108" w:type="dxa"/>
            <w:bottom w:w="0" w:type="dxa"/>
            <w:right w:w="108" w:type="dxa"/>
          </w:tblCellMar>
        </w:tblPrEx>
        <w:trPr>
          <w:trHeight w:val="556" w:hRule="atLeast"/>
          <w:jc w:val="center"/>
        </w:trPr>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8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3783" w:type="pct"/>
            <w:vMerge w:val="continue"/>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left"/>
              <w:textAlignment w:val="center"/>
              <w:rPr>
                <w:rFonts w:hint="eastAsia" w:ascii="Times New Roman" w:hAnsi="Times New Roman" w:eastAsia="宋体" w:cs="宋体"/>
                <w:b w:val="0"/>
                <w:bCs w:val="0"/>
                <w:kern w:val="0"/>
                <w:sz w:val="21"/>
                <w:szCs w:val="21"/>
                <w:highlight w:val="none"/>
                <w:lang w:val="en-US" w:eastAsia="zh-CN" w:bidi="ar"/>
              </w:rPr>
            </w:pPr>
          </w:p>
        </w:tc>
      </w:tr>
      <w:tr>
        <w:tblPrEx>
          <w:tblCellMar>
            <w:top w:w="0" w:type="dxa"/>
            <w:left w:w="108" w:type="dxa"/>
            <w:bottom w:w="0" w:type="dxa"/>
            <w:right w:w="108" w:type="dxa"/>
          </w:tblCellMar>
        </w:tblPrEx>
        <w:trPr>
          <w:trHeight w:val="556" w:hRule="atLeast"/>
          <w:jc w:val="center"/>
        </w:trPr>
        <w:tc>
          <w:tcPr>
            <w:tcW w:w="4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r>
              <w:rPr>
                <w:rFonts w:hint="eastAsia" w:ascii="Times New Roman" w:hAnsi="Times New Roman" w:eastAsia="宋体" w:cs="宋体"/>
                <w:b w:val="0"/>
                <w:bCs w:val="0"/>
                <w:kern w:val="0"/>
                <w:sz w:val="21"/>
                <w:szCs w:val="21"/>
                <w:highlight w:val="none"/>
                <w:lang w:val="en-US" w:eastAsia="zh-CN" w:bidi="ar"/>
              </w:rPr>
              <w:t>3</w:t>
            </w:r>
          </w:p>
        </w:tc>
        <w:tc>
          <w:tcPr>
            <w:tcW w:w="8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r>
              <w:rPr>
                <w:rFonts w:hint="eastAsia" w:ascii="Times New Roman" w:hAnsi="Times New Roman" w:eastAsia="宋体" w:cs="宋体"/>
                <w:b w:val="0"/>
                <w:bCs w:val="0"/>
                <w:kern w:val="0"/>
                <w:sz w:val="21"/>
                <w:szCs w:val="21"/>
                <w:highlight w:val="none"/>
                <w:lang w:val="en-US" w:eastAsia="zh-CN" w:bidi="ar"/>
              </w:rPr>
              <w:t>人行通道门禁管理</w:t>
            </w:r>
          </w:p>
        </w:tc>
        <w:tc>
          <w:tcPr>
            <w:tcW w:w="3783" w:type="pct"/>
            <w:vMerge w:val="restart"/>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left"/>
              <w:textAlignment w:val="center"/>
              <w:rPr>
                <w:rFonts w:hint="eastAsia" w:ascii="Times New Roman" w:hAnsi="Times New Roman" w:eastAsia="宋体" w:cs="宋体"/>
                <w:b w:val="0"/>
                <w:bCs w:val="0"/>
                <w:kern w:val="0"/>
                <w:sz w:val="21"/>
                <w:szCs w:val="21"/>
                <w:highlight w:val="none"/>
                <w:lang w:val="en-US" w:eastAsia="zh-CN" w:bidi="ar"/>
              </w:rPr>
            </w:pPr>
            <w:r>
              <w:rPr>
                <w:rFonts w:hint="eastAsia" w:ascii="Times New Roman" w:hAnsi="Times New Roman" w:eastAsia="宋体" w:cs="宋体"/>
                <w:b w:val="0"/>
                <w:bCs w:val="0"/>
                <w:kern w:val="0"/>
                <w:sz w:val="21"/>
                <w:szCs w:val="21"/>
                <w:highlight w:val="none"/>
                <w:lang w:val="en-US" w:eastAsia="zh-CN" w:bidi="ar"/>
              </w:rPr>
              <w:t>门禁管理，支持对工地的门禁设备进行设备管理、出入权限控制、记录查询等功能，具体功能包含：</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1、支持按组织、人员、人员分组、门禁点维度配置权限；</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2、支持设置权限有效期、计划模板、假日计划；</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3、支持按人员特征属性生成人员分组，如证件类型、岗位等级、职称等；</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4、支持权限增量下发、初始化下发；</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5、支持按时段配置门的常开常闭状态；</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6、支持认证方式设置，可按不同时段设置不同的认证方式，如刷卡+人脸、刷卡+指纹；</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7、支持首卡常开，刷首卡可使门保持常开至常开时间段结束，若此期间再次刷首卡，门恢复正常状态；</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8、支持特殊卡设置，包括残疾人卡（可延长开门时间）、黑名单卡（无法开门）、胁迫卡（正常开门并上报胁迫报警）、超级卡（不受限于门常闭、刷卡+密码认证需要密码确认的规则，刷卡直接开门）；</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9、针对刷卡开门方式，即使卡片权限未同步到设备，也可通过中心平台完成权限认证开门。</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10、支持调整已超出或即将超出设备容量的人员生物信息；</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11、支持按门禁点、人员、组织、区域等多维度，综合查询权限配置、下发状态等信息；</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12、支持查看门禁状态，包括开关状态、在离线状态；</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13、支持对门禁点反控，包括对门进行开、关、常开、常闭的反控操作；</w:t>
            </w:r>
          </w:p>
        </w:tc>
      </w:tr>
      <w:tr>
        <w:tblPrEx>
          <w:tblCellMar>
            <w:top w:w="0" w:type="dxa"/>
            <w:left w:w="108" w:type="dxa"/>
            <w:bottom w:w="0" w:type="dxa"/>
            <w:right w:w="108" w:type="dxa"/>
          </w:tblCellMar>
        </w:tblPrEx>
        <w:trPr>
          <w:trHeight w:val="556" w:hRule="atLeast"/>
          <w:jc w:val="center"/>
        </w:trPr>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8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3783" w:type="pct"/>
            <w:vMerge w:val="continue"/>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left"/>
              <w:textAlignment w:val="center"/>
              <w:rPr>
                <w:rFonts w:hint="eastAsia" w:ascii="Times New Roman" w:hAnsi="Times New Roman" w:eastAsia="宋体" w:cs="宋体"/>
                <w:b w:val="0"/>
                <w:bCs w:val="0"/>
                <w:kern w:val="0"/>
                <w:sz w:val="21"/>
                <w:szCs w:val="21"/>
                <w:highlight w:val="none"/>
                <w:lang w:val="en-US" w:eastAsia="zh-CN" w:bidi="ar"/>
              </w:rPr>
            </w:pPr>
          </w:p>
        </w:tc>
      </w:tr>
      <w:tr>
        <w:tblPrEx>
          <w:tblCellMar>
            <w:top w:w="0" w:type="dxa"/>
            <w:left w:w="108" w:type="dxa"/>
            <w:bottom w:w="0" w:type="dxa"/>
            <w:right w:w="108" w:type="dxa"/>
          </w:tblCellMar>
        </w:tblPrEx>
        <w:trPr>
          <w:trHeight w:val="556" w:hRule="atLeast"/>
          <w:jc w:val="center"/>
        </w:trPr>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8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3783" w:type="pct"/>
            <w:vMerge w:val="continue"/>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left"/>
              <w:textAlignment w:val="center"/>
              <w:rPr>
                <w:rFonts w:hint="eastAsia" w:ascii="Times New Roman" w:hAnsi="Times New Roman" w:eastAsia="宋体" w:cs="宋体"/>
                <w:b w:val="0"/>
                <w:bCs w:val="0"/>
                <w:kern w:val="0"/>
                <w:sz w:val="21"/>
                <w:szCs w:val="21"/>
                <w:highlight w:val="none"/>
                <w:lang w:val="en-US" w:eastAsia="zh-CN" w:bidi="ar"/>
              </w:rPr>
            </w:pPr>
          </w:p>
        </w:tc>
      </w:tr>
      <w:tr>
        <w:tblPrEx>
          <w:tblCellMar>
            <w:top w:w="0" w:type="dxa"/>
            <w:left w:w="108" w:type="dxa"/>
            <w:bottom w:w="0" w:type="dxa"/>
            <w:right w:w="108" w:type="dxa"/>
          </w:tblCellMar>
        </w:tblPrEx>
        <w:trPr>
          <w:trHeight w:val="556" w:hRule="atLeast"/>
          <w:jc w:val="center"/>
        </w:trPr>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8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3783" w:type="pct"/>
            <w:vMerge w:val="continue"/>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left"/>
              <w:textAlignment w:val="center"/>
              <w:rPr>
                <w:rFonts w:hint="eastAsia" w:ascii="Times New Roman" w:hAnsi="Times New Roman" w:eastAsia="宋体" w:cs="宋体"/>
                <w:b w:val="0"/>
                <w:bCs w:val="0"/>
                <w:kern w:val="0"/>
                <w:sz w:val="21"/>
                <w:szCs w:val="21"/>
                <w:highlight w:val="none"/>
                <w:lang w:val="en-US" w:eastAsia="zh-CN" w:bidi="ar"/>
              </w:rPr>
            </w:pPr>
          </w:p>
        </w:tc>
      </w:tr>
      <w:tr>
        <w:tblPrEx>
          <w:tblCellMar>
            <w:top w:w="0" w:type="dxa"/>
            <w:left w:w="108" w:type="dxa"/>
            <w:bottom w:w="0" w:type="dxa"/>
            <w:right w:w="108" w:type="dxa"/>
          </w:tblCellMar>
        </w:tblPrEx>
        <w:trPr>
          <w:trHeight w:val="556" w:hRule="atLeast"/>
          <w:jc w:val="center"/>
        </w:trPr>
        <w:tc>
          <w:tcPr>
            <w:tcW w:w="4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r>
              <w:rPr>
                <w:rFonts w:hint="eastAsia" w:ascii="Times New Roman" w:hAnsi="Times New Roman" w:eastAsia="宋体" w:cs="宋体"/>
                <w:b w:val="0"/>
                <w:bCs w:val="0"/>
                <w:kern w:val="0"/>
                <w:sz w:val="21"/>
                <w:szCs w:val="21"/>
                <w:highlight w:val="none"/>
                <w:lang w:val="en-US" w:eastAsia="zh-CN" w:bidi="ar"/>
              </w:rPr>
              <w:t>4</w:t>
            </w:r>
          </w:p>
        </w:tc>
        <w:tc>
          <w:tcPr>
            <w:tcW w:w="8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r>
              <w:rPr>
                <w:rFonts w:hint="eastAsia" w:ascii="Times New Roman" w:hAnsi="Times New Roman" w:eastAsia="宋体" w:cs="宋体"/>
                <w:b w:val="0"/>
                <w:bCs w:val="0"/>
                <w:kern w:val="0"/>
                <w:sz w:val="21"/>
                <w:szCs w:val="21"/>
                <w:highlight w:val="none"/>
                <w:lang w:val="en-US" w:eastAsia="zh-CN" w:bidi="ar"/>
              </w:rPr>
              <w:t>车辆管理</w:t>
            </w:r>
          </w:p>
        </w:tc>
        <w:tc>
          <w:tcPr>
            <w:tcW w:w="3783" w:type="pct"/>
            <w:vMerge w:val="restart"/>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left"/>
              <w:textAlignment w:val="center"/>
              <w:rPr>
                <w:rFonts w:hint="eastAsia" w:ascii="Times New Roman" w:hAnsi="Times New Roman" w:eastAsia="宋体" w:cs="宋体"/>
                <w:b w:val="0"/>
                <w:bCs w:val="0"/>
                <w:kern w:val="0"/>
                <w:sz w:val="21"/>
                <w:szCs w:val="21"/>
                <w:highlight w:val="none"/>
                <w:lang w:val="en-US" w:eastAsia="zh-CN" w:bidi="ar"/>
              </w:rPr>
            </w:pPr>
            <w:r>
              <w:rPr>
                <w:rFonts w:hint="eastAsia" w:ascii="Times New Roman" w:hAnsi="Times New Roman" w:eastAsia="宋体" w:cs="宋体"/>
                <w:b w:val="0"/>
                <w:bCs w:val="0"/>
                <w:kern w:val="0"/>
                <w:sz w:val="21"/>
                <w:szCs w:val="21"/>
                <w:highlight w:val="none"/>
                <w:lang w:val="en-US" w:eastAsia="zh-CN" w:bidi="ar"/>
              </w:rPr>
              <w:t>停车管理应用，利用车牌号码、卡片，实现车辆识别、出入管控等应用，主要提供出入口车道管理、车辆管理、车辆放行规则管理、出入口LED显示和语音播报管理、库内车辆管理、过车记录查询、车流量统计等应用，支持中心和岗亭监控出入口过车实况、道闸反控和语音对讲协助功能。</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1、支持停车场出入口设备的管理，包含出入口抓拍机、道闸、显示屏等</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2、支持对停车场的管理，配置停车库的名称、车位数、车道信息、车库管理人员电话</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3、支持对车道的管理，支持管理车道方向、识别模式（车牌识别、卡号识别）和启用时段</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4、支持固定车、临时车、预约车、黑名单车辆的管理</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5、支持黑名单车辆管控，黑名单车辆进出报警提醒，支持预约车管理，按次预约和按时段预约</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6、支持嵌套停车场场景下的车辆进出管理和余位统计，支持出入口潮汐车道、摩托车车道、混行车道的车道模式</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7、支持自动放行、手动放行和单进单出等多种放行模式；支持车位满时固定车辆、临时车辆自动放行</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8、支持配置特殊车辆（警车、使馆车）、车牌类型、车牌前缀，自动放行</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9、支持配置节假日车辆自动免费放行，支持按车辆群组配置放行规则，按放行时段（全天、按日、按周）配置入场和出场放行权限、车位满是否放行、是否余位统计群组车进行配置</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10、支持一户多车。当车主只有一个车位两辆车时，只允许一辆车进入停车场</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11、支持车辆满位排队进场，当停车场车位满时，有车辆出场后，排队车辆自动抬杆放行</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12、支持查看停车场的总车位、剩余车位和预约车位信息</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13、支持查看各车道的过车信息，包含过车时间、车牌号、放行状态</w:t>
            </w:r>
            <w:r>
              <w:rPr>
                <w:rFonts w:hint="eastAsia" w:ascii="Times New Roman" w:hAnsi="Times New Roman" w:eastAsia="宋体" w:cs="宋体"/>
                <w:b w:val="0"/>
                <w:bCs w:val="0"/>
                <w:kern w:val="0"/>
                <w:sz w:val="21"/>
                <w:szCs w:val="21"/>
                <w:highlight w:val="none"/>
                <w:lang w:val="en-US" w:eastAsia="zh-CN" w:bidi="ar"/>
              </w:rPr>
              <w:br w:type="textWrapping"/>
            </w:r>
            <w:r>
              <w:rPr>
                <w:rFonts w:hint="eastAsia" w:ascii="Times New Roman" w:hAnsi="Times New Roman" w:eastAsia="宋体" w:cs="宋体"/>
                <w:b w:val="0"/>
                <w:bCs w:val="0"/>
                <w:kern w:val="0"/>
                <w:sz w:val="21"/>
                <w:szCs w:val="21"/>
                <w:highlight w:val="none"/>
                <w:lang w:val="en-US" w:eastAsia="zh-CN" w:bidi="ar"/>
              </w:rPr>
              <w:t>14、支持控制车道开闸、常开、关闸，支持查看各车道设备的在线状态</w:t>
            </w:r>
            <w:r>
              <w:rPr>
                <w:rFonts w:hint="eastAsia" w:ascii="Times New Roman" w:hAnsi="Times New Roman" w:eastAsia="宋体" w:cs="宋体"/>
                <w:b w:val="0"/>
                <w:bCs w:val="0"/>
                <w:kern w:val="0"/>
                <w:sz w:val="21"/>
                <w:szCs w:val="21"/>
                <w:highlight w:val="none"/>
                <w:lang w:val="en-US" w:eastAsia="zh-CN" w:bidi="ar"/>
              </w:rPr>
              <w:br w:type="textWrapping"/>
            </w:r>
          </w:p>
        </w:tc>
      </w:tr>
      <w:tr>
        <w:tblPrEx>
          <w:tblCellMar>
            <w:top w:w="0" w:type="dxa"/>
            <w:left w:w="108" w:type="dxa"/>
            <w:bottom w:w="0" w:type="dxa"/>
            <w:right w:w="108" w:type="dxa"/>
          </w:tblCellMar>
        </w:tblPrEx>
        <w:trPr>
          <w:trHeight w:val="556" w:hRule="atLeast"/>
          <w:jc w:val="center"/>
        </w:trPr>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8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3783" w:type="pct"/>
            <w:vMerge w:val="continue"/>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left"/>
              <w:textAlignment w:val="center"/>
              <w:rPr>
                <w:rFonts w:hint="eastAsia" w:ascii="Times New Roman" w:hAnsi="Times New Roman" w:eastAsia="宋体" w:cs="宋体"/>
                <w:b w:val="0"/>
                <w:bCs w:val="0"/>
                <w:kern w:val="0"/>
                <w:sz w:val="21"/>
                <w:szCs w:val="21"/>
                <w:highlight w:val="none"/>
                <w:lang w:val="en-US" w:eastAsia="zh-CN" w:bidi="ar"/>
              </w:rPr>
            </w:pPr>
          </w:p>
        </w:tc>
      </w:tr>
      <w:tr>
        <w:tblPrEx>
          <w:tblCellMar>
            <w:top w:w="0" w:type="dxa"/>
            <w:left w:w="108" w:type="dxa"/>
            <w:bottom w:w="0" w:type="dxa"/>
            <w:right w:w="108" w:type="dxa"/>
          </w:tblCellMar>
        </w:tblPrEx>
        <w:trPr>
          <w:trHeight w:val="556" w:hRule="atLeast"/>
          <w:jc w:val="center"/>
        </w:trPr>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8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val="0"/>
                <w:bCs w:val="0"/>
                <w:kern w:val="0"/>
                <w:sz w:val="21"/>
                <w:szCs w:val="21"/>
                <w:highlight w:val="none"/>
                <w:lang w:val="en-US" w:eastAsia="zh-CN" w:bidi="ar"/>
              </w:rPr>
            </w:pPr>
          </w:p>
        </w:tc>
        <w:tc>
          <w:tcPr>
            <w:tcW w:w="3783" w:type="pct"/>
            <w:vMerge w:val="continue"/>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left"/>
              <w:textAlignment w:val="center"/>
              <w:rPr>
                <w:rFonts w:hint="eastAsia" w:ascii="Times New Roman" w:hAnsi="Times New Roman" w:eastAsia="宋体" w:cs="宋体"/>
                <w:b w:val="0"/>
                <w:bCs w:val="0"/>
                <w:kern w:val="0"/>
                <w:sz w:val="21"/>
                <w:szCs w:val="21"/>
                <w:highlight w:val="none"/>
                <w:lang w:val="en-US" w:eastAsia="zh-CN" w:bidi="ar"/>
              </w:rPr>
            </w:pPr>
          </w:p>
        </w:tc>
      </w:tr>
      <w:tr>
        <w:tblPrEx>
          <w:tblCellMar>
            <w:top w:w="0" w:type="dxa"/>
            <w:left w:w="108" w:type="dxa"/>
            <w:bottom w:w="0" w:type="dxa"/>
            <w:right w:w="108" w:type="dxa"/>
          </w:tblCellMar>
        </w:tblPrEx>
        <w:trPr>
          <w:trHeight w:val="556" w:hRule="atLeast"/>
          <w:jc w:val="center"/>
        </w:trPr>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bCs/>
                <w:kern w:val="0"/>
                <w:sz w:val="21"/>
                <w:szCs w:val="21"/>
                <w:highlight w:val="none"/>
                <w:lang w:val="en-US" w:eastAsia="zh-CN" w:bidi="ar"/>
              </w:rPr>
            </w:pPr>
          </w:p>
        </w:tc>
        <w:tc>
          <w:tcPr>
            <w:tcW w:w="8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bCs/>
                <w:kern w:val="0"/>
                <w:sz w:val="21"/>
                <w:szCs w:val="21"/>
                <w:highlight w:val="none"/>
                <w:lang w:val="en-US" w:eastAsia="zh-CN" w:bidi="ar"/>
              </w:rPr>
            </w:pPr>
          </w:p>
        </w:tc>
        <w:tc>
          <w:tcPr>
            <w:tcW w:w="3783" w:type="pct"/>
            <w:vMerge w:val="continue"/>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val="0"/>
              <w:jc w:val="center"/>
              <w:textAlignment w:val="center"/>
              <w:rPr>
                <w:rFonts w:hint="eastAsia" w:ascii="Times New Roman" w:hAnsi="Times New Roman" w:eastAsia="宋体" w:cs="宋体"/>
                <w:b/>
                <w:bCs/>
                <w:kern w:val="0"/>
                <w:sz w:val="21"/>
                <w:szCs w:val="21"/>
                <w:highlight w:val="none"/>
                <w:lang w:val="en-US" w:eastAsia="zh-CN" w:bidi="ar"/>
              </w:rPr>
            </w:pPr>
          </w:p>
        </w:tc>
      </w:tr>
    </w:tbl>
    <w:p>
      <w:pPr>
        <w:pStyle w:val="5"/>
        <w:rPr>
          <w:highlight w:val="none"/>
        </w:rPr>
      </w:pPr>
    </w:p>
    <w:p>
      <w:pPr>
        <w:bidi w:val="0"/>
        <w:rPr>
          <w:rFonts w:hint="eastAsia"/>
        </w:rPr>
      </w:pPr>
      <w:r>
        <w:rPr>
          <w:rFonts w:hint="eastAsia"/>
          <w:lang w:val="en-US" w:eastAsia="zh-CN"/>
        </w:rPr>
        <w:t>4、</w:t>
      </w:r>
      <w:r>
        <w:rPr>
          <w:rFonts w:hint="eastAsia"/>
        </w:rPr>
        <w:t>平台服务器</w:t>
      </w:r>
    </w:p>
    <w:p>
      <w:pPr>
        <w:pStyle w:val="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rFonts w:hint="eastAsia"/>
          <w:sz w:val="24"/>
          <w:szCs w:val="32"/>
          <w:highlight w:val="none"/>
        </w:rPr>
        <w:t>2U双路标准机架式服务器</w:t>
      </w:r>
    </w:p>
    <w:p>
      <w:pPr>
        <w:pStyle w:val="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rFonts w:hint="eastAsia"/>
          <w:sz w:val="24"/>
          <w:szCs w:val="32"/>
          <w:highlight w:val="none"/>
        </w:rPr>
        <w:t>CPU：配置1颗intel至强4210R处理器，核数≥10核，主频≥2.4GHz （可扩展至2颗）</w:t>
      </w:r>
    </w:p>
    <w:p>
      <w:pPr>
        <w:pStyle w:val="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rFonts w:hint="eastAsia"/>
          <w:sz w:val="24"/>
          <w:szCs w:val="32"/>
          <w:highlight w:val="none"/>
        </w:rPr>
        <w:t>内存：配置64G DDR4，16根内存插槽，最大支持扩展至2TB内存</w:t>
      </w:r>
    </w:p>
    <w:p>
      <w:pPr>
        <w:pStyle w:val="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rFonts w:hint="eastAsia"/>
          <w:sz w:val="24"/>
          <w:szCs w:val="32"/>
          <w:highlight w:val="none"/>
        </w:rPr>
        <w:t>硬盘：配置2块960G SSD硬盘；</w:t>
      </w:r>
    </w:p>
    <w:p>
      <w:pPr>
        <w:pStyle w:val="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rFonts w:hint="eastAsia"/>
          <w:sz w:val="24"/>
          <w:szCs w:val="32"/>
          <w:highlight w:val="none"/>
        </w:rPr>
        <w:t>阵列卡：配置SAS+HBA卡，支持RAID 0/1/10 ;</w:t>
      </w:r>
    </w:p>
    <w:p>
      <w:pPr>
        <w:pStyle w:val="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rFonts w:hint="eastAsia"/>
          <w:sz w:val="24"/>
          <w:szCs w:val="32"/>
          <w:highlight w:val="none"/>
        </w:rPr>
        <w:t>PCIE扩展：支持6个PCIE扩展插槽</w:t>
      </w:r>
    </w:p>
    <w:p>
      <w:pPr>
        <w:pStyle w:val="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rFonts w:hint="eastAsia"/>
          <w:sz w:val="24"/>
          <w:szCs w:val="32"/>
          <w:highlight w:val="none"/>
        </w:rPr>
        <w:t>网口：板载2个千兆电口，另加配2个千兆电口； 支持选配10GbE、25GbE SFP+等多种网络接口</w:t>
      </w:r>
    </w:p>
    <w:p>
      <w:pPr>
        <w:pStyle w:val="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rFonts w:hint="eastAsia"/>
          <w:sz w:val="24"/>
          <w:szCs w:val="32"/>
          <w:highlight w:val="none"/>
        </w:rPr>
        <w:t>其他接口：1个RJ45管理接口，后置2个USB 3.0接口，前置2个USB2.0接口，1个VGA接口</w:t>
      </w:r>
    </w:p>
    <w:p>
      <w:pPr>
        <w:pStyle w:val="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5" w:hanging="425" w:firstLineChars="0"/>
        <w:textAlignment w:val="auto"/>
        <w:rPr>
          <w:sz w:val="24"/>
          <w:szCs w:val="32"/>
          <w:highlight w:val="none"/>
        </w:rPr>
      </w:pPr>
      <w:r>
        <w:rPr>
          <w:rFonts w:hint="eastAsia"/>
          <w:sz w:val="24"/>
          <w:szCs w:val="32"/>
          <w:highlight w:val="none"/>
        </w:rPr>
        <w:t>电源：标配550W（1+1）高效铂金CRPS冗余电源</w:t>
      </w:r>
    </w:p>
    <w:p>
      <w:pPr>
        <w:pStyle w:val="2"/>
        <w:numPr>
          <w:ilvl w:val="0"/>
          <w:numId w:val="0"/>
        </w:numPr>
        <w:rPr>
          <w:highlight w:val="none"/>
          <w:lang w:val="en-US"/>
        </w:rPr>
      </w:pPr>
      <w:bookmarkStart w:id="141" w:name="_Toc26587"/>
      <w:r>
        <w:rPr>
          <w:rFonts w:hint="eastAsia"/>
          <w:highlight w:val="none"/>
          <w:lang w:val="en-US"/>
        </w:rPr>
        <w:t>7.</w:t>
      </w:r>
      <w:r>
        <w:rPr>
          <w:rFonts w:hint="eastAsia"/>
          <w:highlight w:val="none"/>
          <w:lang w:val="en-US" w:eastAsia="zh-CN"/>
        </w:rPr>
        <w:t>2</w:t>
      </w:r>
      <w:r>
        <w:rPr>
          <w:highlight w:val="none"/>
        </w:rPr>
        <w:t xml:space="preserve"> </w:t>
      </w:r>
      <w:bookmarkEnd w:id="141"/>
      <w:r>
        <w:rPr>
          <w:rFonts w:hint="eastAsia"/>
          <w:lang w:val="en-US" w:eastAsia="zh-CN"/>
        </w:rPr>
        <w:t>东联码头CSAS车道闸</w:t>
      </w:r>
    </w:p>
    <w:p>
      <w:pPr>
        <w:pStyle w:val="4"/>
        <w:numPr>
          <w:ilvl w:val="2"/>
          <w:numId w:val="0"/>
        </w:numPr>
        <w:rPr>
          <w:rFonts w:hint="eastAsia" w:eastAsia="宋体"/>
          <w:highlight w:val="none"/>
          <w:lang w:eastAsia="zh-CN"/>
        </w:rPr>
      </w:pPr>
      <w:bookmarkStart w:id="142" w:name="_Toc20791"/>
      <w:r>
        <w:rPr>
          <w:rFonts w:hint="eastAsia"/>
          <w:highlight w:val="none"/>
        </w:rPr>
        <w:t>7.</w:t>
      </w:r>
      <w:r>
        <w:rPr>
          <w:rFonts w:hint="eastAsia"/>
          <w:highlight w:val="none"/>
          <w:lang w:val="en-US" w:eastAsia="zh-CN"/>
        </w:rPr>
        <w:t>2</w:t>
      </w:r>
      <w:r>
        <w:rPr>
          <w:rFonts w:hint="eastAsia"/>
          <w:highlight w:val="none"/>
        </w:rPr>
        <w:t>.</w:t>
      </w:r>
      <w:r>
        <w:rPr>
          <w:rFonts w:hint="eastAsia"/>
          <w:highlight w:val="none"/>
          <w:lang w:val="en-US" w:eastAsia="zh-CN"/>
        </w:rPr>
        <w:t>2</w:t>
      </w:r>
      <w:r>
        <w:rPr>
          <w:rFonts w:hint="eastAsia"/>
          <w:highlight w:val="none"/>
        </w:rPr>
        <w:t>、</w:t>
      </w:r>
      <w:bookmarkEnd w:id="142"/>
      <w:r>
        <w:rPr>
          <w:rFonts w:hint="eastAsia"/>
          <w:highlight w:val="none"/>
          <w:lang w:val="en-US" w:eastAsia="zh-CN"/>
        </w:rPr>
        <w:t>硬件要求</w:t>
      </w:r>
    </w:p>
    <w:p>
      <w:pPr>
        <w:pStyle w:val="2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hanging="425" w:firstLineChars="0"/>
        <w:textAlignment w:val="auto"/>
        <w:rPr>
          <w:rFonts w:hint="eastAsia"/>
          <w:b/>
          <w:sz w:val="24"/>
          <w:szCs w:val="24"/>
          <w:highlight w:val="none"/>
        </w:rPr>
      </w:pPr>
      <w:r>
        <w:rPr>
          <w:rFonts w:hint="eastAsia"/>
          <w:b/>
          <w:sz w:val="24"/>
          <w:szCs w:val="24"/>
          <w:highlight w:val="none"/>
        </w:rPr>
        <w:t>抓拍显示补光一体机</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高清晰：400万像素高清摄像机，最大分辨率可达2688*1520，帧率高达25fps；</w:t>
      </w:r>
      <w:r>
        <w:rPr>
          <w:rFonts w:hint="eastAsia"/>
          <w:sz w:val="24"/>
          <w:szCs w:val="32"/>
          <w:highlight w:val="none"/>
        </w:rPr>
        <w:br w:type="textWrapping"/>
      </w:r>
      <w:r>
        <w:rPr>
          <w:rFonts w:hint="eastAsia"/>
          <w:sz w:val="24"/>
          <w:szCs w:val="32"/>
          <w:highlight w:val="none"/>
        </w:rPr>
        <w:t>集成度高：集摄像机、LED显示屏、补光灯、镜头、喇叭功放于一体，有效节省施工布线成本；</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显示屏：支持两列行四字双色LED屏，显示内容可灵活配置，内置高亮LED灯，智能补光技术，满足不同场景需求支持电动变焦镜头，便于调试</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车牌识别种类：支持识别的号牌类型包括大（小）型汽车、使领馆汽车、警用汽车、教练汽车、新能源汽车；</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车辆结构化：支持车型识别，车标识别，车身颜色识别，子品牌检测</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黑白名单控制：支持黑、白名单的导入及对比，可直接联动道闸开闸，支持脱机运行；</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支持智能化视频检测抓拍，实现机动车精准抓拍识别，准确率99.9%以上（车辆目标以及对应车牌成像清晰无遮挡）；</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支持跟车不落杆，实现快速通行；</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机箱表面采用抗紫外线静电喷塑工艺，不起皮，不褪色，防尘防水等级符合室外设备IP54级别要求；</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支持黑白名单同步和比对功能检查功能；支持对部分污损车牌及遮挡面积不超过1/3的车牌进行检测和识别；支持识别机动车行进方向；行进方向包括来向、去向；支持车牌触及检车线至样机发出抬杆信号的响应时间≤1s；支持过滤抓拍功能，可设置正向抓拍、背向和全部抓拍。</w:t>
      </w:r>
      <w:r>
        <w:rPr>
          <w:rFonts w:hint="eastAsia"/>
          <w:sz w:val="24"/>
          <w:szCs w:val="32"/>
          <w:highlight w:val="none"/>
        </w:rPr>
        <w:br w:type="textWrapping"/>
      </w:r>
      <w:r>
        <w:rPr>
          <w:rFonts w:hint="eastAsia"/>
          <w:sz w:val="24"/>
          <w:szCs w:val="32"/>
          <w:highlight w:val="none"/>
        </w:rPr>
        <w:t>最低照度：彩色0.04lx(F2.0,AGC ON)</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黑白0.02lx(F2.0,AGC ON)</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快门：1/30秒至1/100,000秒</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传感器类型：1/3" Progressive Scan CMOS</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自动光圈：DC驱动</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ICR切换：支持</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镜头：3.1~6mm电动变焦镜头</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日夜转换模式：ICR红外滤片式</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数字降噪：3D数字降</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视频压缩标准：H.264/H.265/MJPEG</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视频压缩码率：32 Kbps~16M bps</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帧率：25fps(2688*1520)</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图像设置：饱和度,亮度,对比度,白平衡,增益,3D降噪通过软件可调</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图像格式：JPEG</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最大图像尺寸：2688*1520</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通用功能：心跳,密码保护,NTP校时</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支持协议：TCP/IP,HTTP,DHCP,DNS,RTP,RTSP,NTP,支持FTP上传图片</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智能识别：车牌识别,</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补光灯控制：补光灯自动光控、时控可选；</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图片格式：采用JPEG编码,图片质量可设</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通讯接口：1个RJ45 10M/100M 自适应以太网口 ，1个RS-232接口</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外部接口：2路触发输入；2路继电器输出，支持道闸开、关、停</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补光灯：内置9颗LED补光灯</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防护等级：IP54</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工作温度和湿度：-20℃~70℃,湿度小于90%(无凝结)</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电源供应：AC100V~240V</w:t>
      </w:r>
    </w:p>
    <w:p>
      <w:pPr>
        <w:pStyle w:val="2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功耗：35W MAX</w:t>
      </w:r>
    </w:p>
    <w:p>
      <w:pPr>
        <w:pStyle w:val="2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hanging="425" w:firstLineChars="0"/>
        <w:textAlignment w:val="auto"/>
        <w:rPr>
          <w:rFonts w:hint="eastAsia"/>
          <w:b/>
          <w:sz w:val="24"/>
          <w:szCs w:val="24"/>
          <w:highlight w:val="none"/>
        </w:rPr>
      </w:pPr>
      <w:r>
        <w:rPr>
          <w:rFonts w:hint="eastAsia"/>
          <w:b/>
          <w:sz w:val="24"/>
          <w:szCs w:val="24"/>
          <w:highlight w:val="none"/>
        </w:rPr>
        <w:t>车行道闸</w:t>
      </w:r>
    </w:p>
    <w:p>
      <w:pPr>
        <w:pStyle w:val="23"/>
        <w:keepNext w:val="0"/>
        <w:keepLines w:val="0"/>
        <w:pageBreakBefore w:val="0"/>
        <w:widowControl w:val="0"/>
        <w:numPr>
          <w:ilvl w:val="0"/>
          <w:numId w:val="13"/>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采用一体化机芯，平行齿轮减速连杆传动，传动平稳、效率高；</w:t>
      </w:r>
    </w:p>
    <w:p>
      <w:pPr>
        <w:pStyle w:val="23"/>
        <w:keepNext w:val="0"/>
        <w:keepLines w:val="0"/>
        <w:pageBreakBefore w:val="0"/>
        <w:widowControl w:val="0"/>
        <w:numPr>
          <w:ilvl w:val="0"/>
          <w:numId w:val="13"/>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侧贴式安装，安装方便、结构紧凑；</w:t>
      </w:r>
    </w:p>
    <w:p>
      <w:pPr>
        <w:pStyle w:val="23"/>
        <w:keepNext w:val="0"/>
        <w:keepLines w:val="0"/>
        <w:pageBreakBefore w:val="0"/>
        <w:widowControl w:val="0"/>
        <w:numPr>
          <w:ilvl w:val="0"/>
          <w:numId w:val="13"/>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齿轮碳钢材质，淬火处理工艺，抗磨损、抗冲击，寿命长；</w:t>
      </w:r>
    </w:p>
    <w:p>
      <w:pPr>
        <w:pStyle w:val="23"/>
        <w:keepNext w:val="0"/>
        <w:keepLines w:val="0"/>
        <w:pageBreakBefore w:val="0"/>
        <w:widowControl w:val="0"/>
        <w:numPr>
          <w:ilvl w:val="0"/>
          <w:numId w:val="13"/>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直流无刷电机、输出力矩大、体积小，噪音低，精确智能控制；</w:t>
      </w:r>
    </w:p>
    <w:p>
      <w:pPr>
        <w:pStyle w:val="23"/>
        <w:keepNext w:val="0"/>
        <w:keepLines w:val="0"/>
        <w:pageBreakBefore w:val="0"/>
        <w:widowControl w:val="0"/>
        <w:numPr>
          <w:ilvl w:val="0"/>
          <w:numId w:val="13"/>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持遇阻反弹，开优先保护功能；</w:t>
      </w:r>
    </w:p>
    <w:p>
      <w:pPr>
        <w:pStyle w:val="23"/>
        <w:keepNext w:val="0"/>
        <w:keepLines w:val="0"/>
        <w:pageBreakBefore w:val="0"/>
        <w:widowControl w:val="0"/>
        <w:numPr>
          <w:ilvl w:val="0"/>
          <w:numId w:val="13"/>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直流变频控制，快速抬杆慢速落杆，运行平稳；</w:t>
      </w:r>
    </w:p>
    <w:p>
      <w:pPr>
        <w:pStyle w:val="23"/>
        <w:keepNext w:val="0"/>
        <w:keepLines w:val="0"/>
        <w:pageBreakBefore w:val="0"/>
        <w:widowControl w:val="0"/>
        <w:numPr>
          <w:ilvl w:val="0"/>
          <w:numId w:val="13"/>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事件日志记录、方便操作追踪；</w:t>
      </w:r>
    </w:p>
    <w:p>
      <w:pPr>
        <w:pStyle w:val="23"/>
        <w:keepNext w:val="0"/>
        <w:keepLines w:val="0"/>
        <w:pageBreakBefore w:val="0"/>
        <w:widowControl w:val="0"/>
        <w:numPr>
          <w:ilvl w:val="0"/>
          <w:numId w:val="13"/>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支持红外，地感，雷达等多种防砸；支持故障码数码管检测，日志记录、丰富状态指示，故障码数码管显示、问题定位快捷、方便维护；</w:t>
      </w:r>
    </w:p>
    <w:p>
      <w:pPr>
        <w:pStyle w:val="23"/>
        <w:keepNext w:val="0"/>
        <w:keepLines w:val="0"/>
        <w:pageBreakBefore w:val="0"/>
        <w:widowControl w:val="0"/>
        <w:numPr>
          <w:ilvl w:val="0"/>
          <w:numId w:val="13"/>
        </w:numPr>
        <w:kinsoku/>
        <w:wordWrap/>
        <w:overflowPunct/>
        <w:topLinePunct w:val="0"/>
        <w:autoSpaceDE/>
        <w:autoSpaceDN/>
        <w:bidi w:val="0"/>
        <w:adjustRightInd/>
        <w:snapToGrid/>
        <w:spacing w:line="360" w:lineRule="auto"/>
        <w:ind w:left="839" w:leftChars="0" w:hanging="420" w:firstLineChars="0"/>
        <w:textAlignment w:val="auto"/>
        <w:rPr>
          <w:rFonts w:hint="eastAsia"/>
          <w:sz w:val="24"/>
          <w:szCs w:val="32"/>
          <w:highlight w:val="none"/>
        </w:rPr>
      </w:pPr>
      <w:r>
        <w:rPr>
          <w:rFonts w:hint="eastAsia"/>
          <w:sz w:val="24"/>
          <w:szCs w:val="32"/>
          <w:highlight w:val="none"/>
        </w:rPr>
        <w:t>手动开闸功能：停电时可转动手轮，使道闸保持开状态；</w:t>
      </w:r>
    </w:p>
    <w:p>
      <w:pPr>
        <w:pStyle w:val="23"/>
        <w:keepNext w:val="0"/>
        <w:keepLines w:val="0"/>
        <w:pageBreakBefore w:val="0"/>
        <w:widowControl w:val="0"/>
        <w:numPr>
          <w:ilvl w:val="0"/>
          <w:numId w:val="13"/>
        </w:numPr>
        <w:kinsoku/>
        <w:wordWrap/>
        <w:overflowPunct/>
        <w:topLinePunct w:val="0"/>
        <w:autoSpaceDE/>
        <w:autoSpaceDN/>
        <w:bidi w:val="0"/>
        <w:adjustRightInd/>
        <w:snapToGrid/>
        <w:spacing w:line="360" w:lineRule="auto"/>
        <w:ind w:left="839" w:leftChars="0" w:hanging="420" w:firstLineChars="0"/>
        <w:textAlignment w:val="auto"/>
        <w:rPr>
          <w:rFonts w:hint="eastAsia"/>
          <w:highlight w:val="none"/>
        </w:rPr>
      </w:pPr>
      <w:r>
        <w:rPr>
          <w:rFonts w:hint="eastAsia"/>
          <w:sz w:val="24"/>
          <w:szCs w:val="32"/>
          <w:highlight w:val="none"/>
        </w:rPr>
        <w:t>接口参数</w:t>
      </w:r>
      <w:r>
        <w:rPr>
          <w:rFonts w:hint="eastAsia"/>
          <w:sz w:val="24"/>
          <w:szCs w:val="32"/>
          <w:highlight w:val="none"/>
        </w:rPr>
        <w:br w:type="textWrapping"/>
      </w:r>
      <w:r>
        <w:rPr>
          <w:rFonts w:hint="eastAsia" w:ascii="宋体" w:hAnsi="宋体"/>
          <w:sz w:val="22"/>
          <w:szCs w:val="18"/>
          <w:highlight w:val="none"/>
        </w:rPr>
        <w:t>开/关到位输出接口：各1组；</w:t>
      </w:r>
      <w:r>
        <w:rPr>
          <w:rFonts w:hint="eastAsia" w:ascii="宋体" w:hAnsi="宋体"/>
          <w:sz w:val="22"/>
          <w:szCs w:val="18"/>
          <w:highlight w:val="none"/>
        </w:rPr>
        <w:br w:type="textWrapping"/>
      </w:r>
      <w:r>
        <w:rPr>
          <w:rFonts w:hint="eastAsia" w:ascii="宋体" w:hAnsi="宋体"/>
          <w:sz w:val="22"/>
          <w:szCs w:val="18"/>
          <w:highlight w:val="none"/>
        </w:rPr>
        <w:t>开/关/停控制信号接口：各1组；</w:t>
      </w:r>
      <w:r>
        <w:rPr>
          <w:rFonts w:hint="eastAsia" w:ascii="宋体" w:hAnsi="宋体"/>
          <w:sz w:val="22"/>
          <w:szCs w:val="18"/>
          <w:highlight w:val="none"/>
        </w:rPr>
        <w:br w:type="textWrapping"/>
      </w:r>
      <w:r>
        <w:rPr>
          <w:rFonts w:hint="eastAsia" w:ascii="宋体" w:hAnsi="宋体"/>
          <w:sz w:val="22"/>
          <w:szCs w:val="18"/>
          <w:highlight w:val="none"/>
        </w:rPr>
        <w:t>红外/地感防砸信号接口：1组；</w:t>
      </w:r>
      <w:r>
        <w:rPr>
          <w:rFonts w:hint="eastAsia" w:ascii="宋体" w:hAnsi="宋体"/>
          <w:sz w:val="22"/>
          <w:szCs w:val="18"/>
          <w:highlight w:val="none"/>
        </w:rPr>
        <w:br w:type="textWrapping"/>
      </w:r>
      <w:r>
        <w:rPr>
          <w:rFonts w:hint="eastAsia" w:ascii="宋体" w:hAnsi="宋体"/>
          <w:sz w:val="22"/>
          <w:szCs w:val="18"/>
          <w:highlight w:val="none"/>
        </w:rPr>
        <w:t>485控制接口：1组；</w:t>
      </w:r>
      <w:r>
        <w:rPr>
          <w:rFonts w:hint="eastAsia" w:ascii="宋体" w:hAnsi="宋体"/>
          <w:sz w:val="22"/>
          <w:szCs w:val="18"/>
          <w:highlight w:val="none"/>
        </w:rPr>
        <w:br w:type="textWrapping"/>
      </w:r>
      <w:r>
        <w:rPr>
          <w:rFonts w:hint="eastAsia" w:ascii="宋体" w:hAnsi="宋体"/>
          <w:sz w:val="22"/>
          <w:szCs w:val="18"/>
          <w:highlight w:val="none"/>
        </w:rPr>
        <w:t>杆子类型：直杆；</w:t>
      </w:r>
      <w:r>
        <w:rPr>
          <w:rFonts w:hint="eastAsia" w:ascii="宋体" w:hAnsi="宋体"/>
          <w:sz w:val="22"/>
          <w:szCs w:val="18"/>
          <w:highlight w:val="none"/>
        </w:rPr>
        <w:br w:type="textWrapping"/>
      </w:r>
      <w:r>
        <w:rPr>
          <w:rFonts w:hint="eastAsia" w:ascii="宋体" w:hAnsi="宋体"/>
          <w:sz w:val="22"/>
          <w:szCs w:val="18"/>
          <w:highlight w:val="none"/>
        </w:rPr>
        <w:t>工作电压：AC220V；</w:t>
      </w:r>
      <w:r>
        <w:rPr>
          <w:rFonts w:hint="eastAsia" w:ascii="宋体" w:hAnsi="宋体"/>
          <w:sz w:val="22"/>
          <w:szCs w:val="18"/>
          <w:highlight w:val="none"/>
        </w:rPr>
        <w:br w:type="textWrapping"/>
      </w:r>
      <w:r>
        <w:rPr>
          <w:rFonts w:hint="eastAsia" w:ascii="宋体" w:hAnsi="宋体"/>
          <w:sz w:val="22"/>
          <w:szCs w:val="18"/>
          <w:highlight w:val="none"/>
        </w:rPr>
        <w:t>电机类型：直流无刷；</w:t>
      </w:r>
      <w:r>
        <w:rPr>
          <w:rFonts w:hint="eastAsia" w:ascii="宋体" w:hAnsi="宋体"/>
          <w:sz w:val="22"/>
          <w:szCs w:val="18"/>
          <w:highlight w:val="none"/>
        </w:rPr>
        <w:br w:type="textWrapping"/>
      </w:r>
      <w:r>
        <w:rPr>
          <w:rFonts w:hint="eastAsia" w:ascii="宋体" w:hAnsi="宋体"/>
          <w:sz w:val="22"/>
          <w:szCs w:val="18"/>
          <w:highlight w:val="none"/>
        </w:rPr>
        <w:t>运行噪声：60分贝；</w:t>
      </w:r>
      <w:r>
        <w:rPr>
          <w:rFonts w:hint="eastAsia" w:ascii="宋体" w:hAnsi="宋体"/>
          <w:sz w:val="22"/>
          <w:szCs w:val="18"/>
          <w:highlight w:val="none"/>
        </w:rPr>
        <w:br w:type="textWrapping"/>
      </w:r>
      <w:r>
        <w:rPr>
          <w:rFonts w:hint="eastAsia" w:ascii="宋体" w:hAnsi="宋体"/>
          <w:sz w:val="22"/>
          <w:szCs w:val="18"/>
          <w:highlight w:val="none"/>
        </w:rPr>
        <w:t>电机功率：250W；</w:t>
      </w:r>
      <w:r>
        <w:rPr>
          <w:rFonts w:hint="eastAsia" w:ascii="宋体" w:hAnsi="宋体"/>
          <w:sz w:val="22"/>
          <w:szCs w:val="18"/>
          <w:highlight w:val="none"/>
        </w:rPr>
        <w:br w:type="textWrapping"/>
      </w:r>
      <w:r>
        <w:rPr>
          <w:rFonts w:hint="eastAsia" w:ascii="宋体" w:hAnsi="宋体"/>
          <w:sz w:val="22"/>
          <w:szCs w:val="18"/>
          <w:highlight w:val="none"/>
        </w:rPr>
        <w:t>运行速度：5s；</w:t>
      </w:r>
      <w:r>
        <w:rPr>
          <w:rFonts w:hint="eastAsia" w:ascii="宋体" w:hAnsi="宋体"/>
          <w:sz w:val="22"/>
          <w:szCs w:val="18"/>
          <w:highlight w:val="none"/>
        </w:rPr>
        <w:br w:type="textWrapping"/>
      </w:r>
      <w:r>
        <w:rPr>
          <w:rFonts w:hint="eastAsia" w:ascii="宋体" w:hAnsi="宋体"/>
          <w:sz w:val="22"/>
          <w:szCs w:val="18"/>
          <w:highlight w:val="none"/>
        </w:rPr>
        <w:t>机箱材质：冷轧钢。</w:t>
      </w:r>
    </w:p>
    <w:p>
      <w:pPr>
        <w:pStyle w:val="2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hanging="425" w:firstLineChars="0"/>
        <w:textAlignment w:val="auto"/>
        <w:rPr>
          <w:rFonts w:hint="eastAsia"/>
          <w:b/>
          <w:sz w:val="24"/>
          <w:szCs w:val="24"/>
          <w:highlight w:val="none"/>
        </w:rPr>
      </w:pPr>
      <w:r>
        <w:rPr>
          <w:rFonts w:hint="eastAsia"/>
          <w:b/>
          <w:sz w:val="24"/>
          <w:szCs w:val="24"/>
          <w:highlight w:val="none"/>
        </w:rPr>
        <w:t>岗亭值守终端</w:t>
      </w:r>
    </w:p>
    <w:p>
      <w:pPr>
        <w:pStyle w:val="23"/>
        <w:numPr>
          <w:ilvl w:val="0"/>
          <w:numId w:val="14"/>
        </w:numPr>
        <w:spacing w:line="360" w:lineRule="auto"/>
        <w:ind w:firstLineChars="0"/>
        <w:rPr>
          <w:rFonts w:hint="eastAsia"/>
          <w:sz w:val="22"/>
          <w:highlight w:val="none"/>
        </w:rPr>
      </w:pPr>
      <w:r>
        <w:rPr>
          <w:rFonts w:hint="eastAsia"/>
          <w:sz w:val="22"/>
          <w:highlight w:val="none"/>
        </w:rPr>
        <w:t>【出入口控制终端】【固态硬盘】【含单机PMS管理软件】【预装正版WIN10系统】；</w:t>
      </w:r>
    </w:p>
    <w:p>
      <w:pPr>
        <w:pStyle w:val="23"/>
        <w:numPr>
          <w:ilvl w:val="0"/>
          <w:numId w:val="14"/>
        </w:numPr>
        <w:spacing w:line="360" w:lineRule="auto"/>
        <w:ind w:firstLineChars="0"/>
        <w:rPr>
          <w:rFonts w:hint="eastAsia"/>
          <w:sz w:val="22"/>
          <w:highlight w:val="none"/>
        </w:rPr>
      </w:pPr>
      <w:r>
        <w:rPr>
          <w:rFonts w:hint="eastAsia"/>
          <w:sz w:val="22"/>
          <w:highlight w:val="none"/>
        </w:rPr>
        <w:t>双千兆网卡，支持网络容错以及双网络IP设定、双网隔离等应用；</w:t>
      </w:r>
    </w:p>
    <w:p>
      <w:pPr>
        <w:pStyle w:val="23"/>
        <w:numPr>
          <w:ilvl w:val="0"/>
          <w:numId w:val="14"/>
        </w:numPr>
        <w:spacing w:line="360" w:lineRule="auto"/>
        <w:ind w:firstLineChars="0"/>
        <w:rPr>
          <w:rFonts w:hint="eastAsia"/>
          <w:sz w:val="22"/>
          <w:highlight w:val="none"/>
        </w:rPr>
      </w:pPr>
      <w:r>
        <w:rPr>
          <w:rFonts w:hint="eastAsia"/>
          <w:sz w:val="22"/>
          <w:highlight w:val="none"/>
        </w:rPr>
        <w:t>8个百兆兆自适应RJ45网口具备交换机功能，可接入多路网络设备；</w:t>
      </w:r>
    </w:p>
    <w:p>
      <w:pPr>
        <w:pStyle w:val="23"/>
        <w:numPr>
          <w:ilvl w:val="0"/>
          <w:numId w:val="14"/>
        </w:numPr>
        <w:spacing w:line="360" w:lineRule="auto"/>
        <w:ind w:firstLineChars="0"/>
        <w:rPr>
          <w:rFonts w:hint="eastAsia"/>
          <w:sz w:val="22"/>
          <w:highlight w:val="none"/>
        </w:rPr>
      </w:pPr>
      <w:r>
        <w:rPr>
          <w:rFonts w:hint="eastAsia"/>
          <w:sz w:val="22"/>
          <w:highlight w:val="none"/>
        </w:rPr>
        <w:t>1个标准全功能RS232接口，可直接接入标准RS232接口设备；</w:t>
      </w:r>
    </w:p>
    <w:p>
      <w:pPr>
        <w:pStyle w:val="23"/>
        <w:numPr>
          <w:ilvl w:val="0"/>
          <w:numId w:val="14"/>
        </w:numPr>
        <w:spacing w:line="360" w:lineRule="auto"/>
        <w:ind w:firstLineChars="0"/>
        <w:rPr>
          <w:rFonts w:hint="eastAsia"/>
          <w:sz w:val="22"/>
          <w:highlight w:val="none"/>
        </w:rPr>
      </w:pPr>
      <w:r>
        <w:rPr>
          <w:rFonts w:hint="eastAsia"/>
          <w:sz w:val="22"/>
          <w:highlight w:val="none"/>
        </w:rPr>
        <w:t>标配128G SSD，应对恶略运行环境，适应性更强；</w:t>
      </w:r>
    </w:p>
    <w:p>
      <w:pPr>
        <w:pStyle w:val="23"/>
        <w:numPr>
          <w:ilvl w:val="0"/>
          <w:numId w:val="14"/>
        </w:numPr>
        <w:spacing w:line="360" w:lineRule="auto"/>
        <w:ind w:firstLineChars="0"/>
        <w:rPr>
          <w:rFonts w:hint="eastAsia"/>
          <w:sz w:val="22"/>
          <w:highlight w:val="none"/>
        </w:rPr>
      </w:pPr>
      <w:r>
        <w:rPr>
          <w:rFonts w:hint="eastAsia"/>
          <w:sz w:val="22"/>
          <w:highlight w:val="none"/>
        </w:rPr>
        <w:t>预安装BIOS，自主设计开发BIOS，系统运行稳定可靠；</w:t>
      </w:r>
    </w:p>
    <w:p>
      <w:pPr>
        <w:pStyle w:val="23"/>
        <w:numPr>
          <w:ilvl w:val="0"/>
          <w:numId w:val="14"/>
        </w:numPr>
        <w:spacing w:line="360" w:lineRule="auto"/>
        <w:ind w:firstLineChars="0"/>
        <w:rPr>
          <w:rFonts w:hint="eastAsia"/>
          <w:sz w:val="22"/>
          <w:highlight w:val="none"/>
        </w:rPr>
      </w:pPr>
      <w:r>
        <w:rPr>
          <w:rFonts w:hint="eastAsia"/>
          <w:sz w:val="22"/>
          <w:highlight w:val="none"/>
        </w:rPr>
        <w:t>3.5mm标准音频孔设计，便于接入标准接口音频设备；</w:t>
      </w:r>
    </w:p>
    <w:p>
      <w:pPr>
        <w:pStyle w:val="23"/>
        <w:numPr>
          <w:ilvl w:val="0"/>
          <w:numId w:val="14"/>
        </w:numPr>
        <w:spacing w:line="360" w:lineRule="auto"/>
        <w:ind w:firstLineChars="0"/>
        <w:rPr>
          <w:rFonts w:hint="eastAsia"/>
          <w:sz w:val="22"/>
          <w:highlight w:val="none"/>
        </w:rPr>
      </w:pPr>
      <w:r>
        <w:rPr>
          <w:rFonts w:hint="eastAsia"/>
          <w:sz w:val="22"/>
          <w:highlight w:val="none"/>
        </w:rPr>
        <w:t>HDMI/VGA显示器输出支持，较好的兼容外部显示设备接入；</w:t>
      </w:r>
    </w:p>
    <w:p>
      <w:pPr>
        <w:pStyle w:val="23"/>
        <w:numPr>
          <w:ilvl w:val="0"/>
          <w:numId w:val="14"/>
        </w:numPr>
        <w:spacing w:line="360" w:lineRule="auto"/>
        <w:ind w:firstLineChars="0"/>
        <w:rPr>
          <w:rFonts w:hint="eastAsia"/>
          <w:sz w:val="22"/>
          <w:highlight w:val="none"/>
        </w:rPr>
      </w:pPr>
      <w:r>
        <w:rPr>
          <w:rFonts w:hint="eastAsia"/>
          <w:sz w:val="22"/>
          <w:highlight w:val="none"/>
        </w:rPr>
        <w:t>发热量小，优良散热设计，可保证在-20℃~+70℃温度下稳定运行；</w:t>
      </w:r>
    </w:p>
    <w:p>
      <w:pPr>
        <w:pStyle w:val="23"/>
        <w:numPr>
          <w:ilvl w:val="0"/>
          <w:numId w:val="14"/>
        </w:numPr>
        <w:spacing w:line="360" w:lineRule="auto"/>
        <w:ind w:firstLineChars="0"/>
        <w:rPr>
          <w:rFonts w:hint="eastAsia"/>
          <w:sz w:val="22"/>
          <w:highlight w:val="none"/>
        </w:rPr>
      </w:pPr>
      <w:r>
        <w:rPr>
          <w:rFonts w:hint="eastAsia"/>
          <w:sz w:val="22"/>
          <w:highlight w:val="none"/>
        </w:rPr>
        <w:t>存储功能：128G；</w:t>
      </w:r>
    </w:p>
    <w:p>
      <w:pPr>
        <w:pStyle w:val="23"/>
        <w:numPr>
          <w:ilvl w:val="0"/>
          <w:numId w:val="14"/>
        </w:numPr>
        <w:spacing w:line="360" w:lineRule="auto"/>
        <w:ind w:firstLineChars="0"/>
        <w:rPr>
          <w:rFonts w:hint="eastAsia"/>
          <w:sz w:val="22"/>
          <w:highlight w:val="none"/>
        </w:rPr>
      </w:pPr>
      <w:r>
        <w:rPr>
          <w:rFonts w:hint="eastAsia"/>
          <w:sz w:val="22"/>
          <w:highlight w:val="none"/>
        </w:rPr>
        <w:t>操作系统：BIOS；</w:t>
      </w:r>
    </w:p>
    <w:p>
      <w:pPr>
        <w:pStyle w:val="23"/>
        <w:numPr>
          <w:ilvl w:val="0"/>
          <w:numId w:val="14"/>
        </w:numPr>
        <w:spacing w:line="360" w:lineRule="auto"/>
        <w:ind w:firstLineChars="0"/>
        <w:rPr>
          <w:rFonts w:hint="eastAsia"/>
          <w:sz w:val="22"/>
          <w:highlight w:val="none"/>
        </w:rPr>
      </w:pPr>
      <w:r>
        <w:rPr>
          <w:rFonts w:hint="eastAsia"/>
          <w:sz w:val="22"/>
          <w:highlight w:val="none"/>
        </w:rPr>
        <w:t>音频输出：3.5MM标准输出；</w:t>
      </w:r>
    </w:p>
    <w:p>
      <w:pPr>
        <w:pStyle w:val="23"/>
        <w:numPr>
          <w:ilvl w:val="0"/>
          <w:numId w:val="14"/>
        </w:numPr>
        <w:spacing w:line="360" w:lineRule="auto"/>
        <w:ind w:firstLineChars="0"/>
        <w:rPr>
          <w:rFonts w:hint="eastAsia"/>
          <w:sz w:val="22"/>
          <w:highlight w:val="none"/>
        </w:rPr>
      </w:pPr>
      <w:r>
        <w:rPr>
          <w:rFonts w:hint="eastAsia"/>
          <w:sz w:val="22"/>
          <w:highlight w:val="none"/>
        </w:rPr>
        <w:t>报警输出：2路报警输出；</w:t>
      </w:r>
    </w:p>
    <w:p>
      <w:pPr>
        <w:pStyle w:val="23"/>
        <w:numPr>
          <w:ilvl w:val="0"/>
          <w:numId w:val="14"/>
        </w:numPr>
        <w:spacing w:line="360" w:lineRule="auto"/>
        <w:ind w:firstLineChars="0"/>
        <w:rPr>
          <w:rFonts w:hint="eastAsia"/>
          <w:sz w:val="22"/>
          <w:highlight w:val="none"/>
        </w:rPr>
      </w:pPr>
      <w:r>
        <w:rPr>
          <w:rFonts w:hint="eastAsia"/>
          <w:sz w:val="22"/>
          <w:highlight w:val="none"/>
        </w:rPr>
        <w:t>报警输入：2路报警输入；</w:t>
      </w:r>
    </w:p>
    <w:p>
      <w:pPr>
        <w:pStyle w:val="23"/>
        <w:numPr>
          <w:ilvl w:val="0"/>
          <w:numId w:val="14"/>
        </w:numPr>
        <w:spacing w:line="360" w:lineRule="auto"/>
        <w:ind w:firstLineChars="0"/>
        <w:rPr>
          <w:rFonts w:hint="eastAsia"/>
          <w:sz w:val="22"/>
          <w:highlight w:val="none"/>
        </w:rPr>
      </w:pPr>
      <w:r>
        <w:rPr>
          <w:rFonts w:hint="eastAsia"/>
          <w:sz w:val="22"/>
          <w:highlight w:val="none"/>
        </w:rPr>
        <w:t>音频输入：3.5MM标准输入；</w:t>
      </w:r>
    </w:p>
    <w:p>
      <w:pPr>
        <w:pStyle w:val="23"/>
        <w:numPr>
          <w:ilvl w:val="0"/>
          <w:numId w:val="14"/>
        </w:numPr>
        <w:spacing w:line="360" w:lineRule="auto"/>
        <w:ind w:firstLineChars="0"/>
        <w:rPr>
          <w:rFonts w:hint="eastAsia"/>
          <w:sz w:val="22"/>
          <w:highlight w:val="none"/>
        </w:rPr>
      </w:pPr>
      <w:r>
        <w:rPr>
          <w:rFonts w:hint="eastAsia"/>
          <w:sz w:val="22"/>
          <w:highlight w:val="none"/>
        </w:rPr>
        <w:t>RS232接口：1路；</w:t>
      </w:r>
    </w:p>
    <w:p>
      <w:pPr>
        <w:pStyle w:val="23"/>
        <w:numPr>
          <w:ilvl w:val="0"/>
          <w:numId w:val="14"/>
        </w:numPr>
        <w:spacing w:line="360" w:lineRule="auto"/>
        <w:ind w:firstLineChars="0"/>
        <w:rPr>
          <w:rFonts w:hint="eastAsia"/>
          <w:sz w:val="22"/>
          <w:highlight w:val="none"/>
        </w:rPr>
      </w:pPr>
      <w:r>
        <w:rPr>
          <w:rFonts w:hint="eastAsia"/>
          <w:sz w:val="22"/>
          <w:highlight w:val="none"/>
        </w:rPr>
        <w:t>网络接口：千兆RJ45；</w:t>
      </w:r>
    </w:p>
    <w:p>
      <w:pPr>
        <w:pStyle w:val="23"/>
        <w:numPr>
          <w:ilvl w:val="0"/>
          <w:numId w:val="14"/>
        </w:numPr>
        <w:spacing w:line="360" w:lineRule="auto"/>
        <w:ind w:firstLineChars="0"/>
        <w:rPr>
          <w:rFonts w:hint="eastAsia"/>
          <w:sz w:val="22"/>
          <w:highlight w:val="none"/>
        </w:rPr>
      </w:pPr>
      <w:r>
        <w:rPr>
          <w:rFonts w:hint="eastAsia"/>
          <w:sz w:val="22"/>
          <w:highlight w:val="none"/>
        </w:rPr>
        <w:t>RS485接口：1路；</w:t>
      </w:r>
    </w:p>
    <w:p>
      <w:pPr>
        <w:pStyle w:val="23"/>
        <w:numPr>
          <w:ilvl w:val="0"/>
          <w:numId w:val="14"/>
        </w:numPr>
        <w:spacing w:line="360" w:lineRule="auto"/>
        <w:ind w:firstLineChars="0"/>
        <w:rPr>
          <w:rFonts w:hint="eastAsia"/>
          <w:sz w:val="22"/>
          <w:highlight w:val="none"/>
        </w:rPr>
      </w:pPr>
      <w:r>
        <w:rPr>
          <w:rFonts w:hint="eastAsia"/>
          <w:sz w:val="22"/>
          <w:highlight w:val="none"/>
        </w:rPr>
        <w:t>USB接口：4个USB接口；</w:t>
      </w:r>
    </w:p>
    <w:p>
      <w:pPr>
        <w:pStyle w:val="23"/>
        <w:numPr>
          <w:ilvl w:val="0"/>
          <w:numId w:val="14"/>
        </w:numPr>
        <w:spacing w:line="360" w:lineRule="auto"/>
        <w:ind w:firstLineChars="0"/>
        <w:rPr>
          <w:rFonts w:hint="eastAsia"/>
          <w:highlight w:val="none"/>
        </w:rPr>
      </w:pPr>
      <w:r>
        <w:rPr>
          <w:rFonts w:hint="eastAsia"/>
          <w:sz w:val="22"/>
          <w:highlight w:val="none"/>
        </w:rPr>
        <w:t>VGA接口：1路VGA。</w:t>
      </w:r>
    </w:p>
    <w:p>
      <w:pPr>
        <w:pStyle w:val="2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hanging="425" w:firstLineChars="0"/>
        <w:textAlignment w:val="auto"/>
        <w:rPr>
          <w:rFonts w:hint="eastAsia"/>
          <w:b/>
          <w:sz w:val="24"/>
          <w:szCs w:val="24"/>
          <w:highlight w:val="none"/>
        </w:rPr>
      </w:pPr>
      <w:r>
        <w:rPr>
          <w:rFonts w:hint="eastAsia"/>
          <w:b/>
          <w:sz w:val="24"/>
          <w:szCs w:val="24"/>
          <w:highlight w:val="none"/>
        </w:rPr>
        <w:t>辅助抓拍机</w:t>
      </w:r>
    </w:p>
    <w:p>
      <w:pPr>
        <w:pStyle w:val="23"/>
        <w:numPr>
          <w:ilvl w:val="0"/>
          <w:numId w:val="15"/>
        </w:numPr>
        <w:spacing w:line="360" w:lineRule="auto"/>
        <w:ind w:firstLineChars="0"/>
        <w:rPr>
          <w:rFonts w:hint="eastAsia"/>
          <w:sz w:val="22"/>
          <w:szCs w:val="28"/>
          <w:highlight w:val="none"/>
        </w:rPr>
      </w:pPr>
      <w:r>
        <w:rPr>
          <w:rFonts w:hint="eastAsia"/>
          <w:sz w:val="22"/>
          <w:szCs w:val="28"/>
          <w:highlight w:val="none"/>
        </w:rPr>
        <w:t>集成度高：集摄像机、护罩、LED补光灯、镜头于一体，，有效节省施工布线成本；</w:t>
      </w:r>
    </w:p>
    <w:p>
      <w:pPr>
        <w:pStyle w:val="23"/>
        <w:numPr>
          <w:ilvl w:val="0"/>
          <w:numId w:val="15"/>
        </w:numPr>
        <w:spacing w:line="360" w:lineRule="auto"/>
        <w:ind w:firstLineChars="0"/>
        <w:rPr>
          <w:rFonts w:hint="eastAsia"/>
          <w:sz w:val="22"/>
          <w:szCs w:val="28"/>
          <w:highlight w:val="none"/>
        </w:rPr>
      </w:pPr>
      <w:r>
        <w:rPr>
          <w:rFonts w:hint="eastAsia"/>
          <w:sz w:val="22"/>
          <w:szCs w:val="28"/>
          <w:highlight w:val="none"/>
        </w:rPr>
        <w:t>调试方便：采用3.1-6mm电动变焦镜头，支持软件自动调焦，调试更加方便，场景适应性更广</w:t>
      </w:r>
    </w:p>
    <w:p>
      <w:pPr>
        <w:pStyle w:val="23"/>
        <w:numPr>
          <w:ilvl w:val="0"/>
          <w:numId w:val="15"/>
        </w:numPr>
        <w:spacing w:line="360" w:lineRule="auto"/>
        <w:ind w:firstLineChars="0"/>
        <w:rPr>
          <w:rFonts w:hint="eastAsia"/>
          <w:sz w:val="22"/>
          <w:szCs w:val="28"/>
          <w:highlight w:val="none"/>
        </w:rPr>
      </w:pPr>
      <w:r>
        <w:rPr>
          <w:rFonts w:hint="eastAsia"/>
          <w:sz w:val="22"/>
          <w:szCs w:val="28"/>
          <w:highlight w:val="none"/>
        </w:rPr>
        <w:t>接口丰富：丰富的控制接口，可直接控制道闸开/关，支持外接报警设备、LED显示屏、音频输入输出等</w:t>
      </w:r>
    </w:p>
    <w:p>
      <w:pPr>
        <w:pStyle w:val="23"/>
        <w:numPr>
          <w:ilvl w:val="0"/>
          <w:numId w:val="15"/>
        </w:numPr>
        <w:spacing w:line="360" w:lineRule="auto"/>
        <w:ind w:firstLineChars="0"/>
        <w:rPr>
          <w:rFonts w:hint="eastAsia"/>
          <w:sz w:val="22"/>
          <w:szCs w:val="28"/>
          <w:highlight w:val="none"/>
        </w:rPr>
      </w:pPr>
      <w:r>
        <w:rPr>
          <w:rFonts w:hint="eastAsia"/>
          <w:sz w:val="22"/>
          <w:szCs w:val="28"/>
          <w:highlight w:val="none"/>
        </w:rPr>
        <w:t>识别车牌种类多：能够识别符合GA 36《中华人民共和国机动车号牌》标准的车牌类型</w:t>
      </w:r>
    </w:p>
    <w:p>
      <w:pPr>
        <w:pStyle w:val="23"/>
        <w:numPr>
          <w:ilvl w:val="0"/>
          <w:numId w:val="15"/>
        </w:numPr>
        <w:spacing w:line="360" w:lineRule="auto"/>
        <w:ind w:firstLineChars="0"/>
        <w:rPr>
          <w:rFonts w:hint="eastAsia"/>
          <w:sz w:val="22"/>
          <w:szCs w:val="28"/>
          <w:highlight w:val="none"/>
        </w:rPr>
      </w:pPr>
      <w:r>
        <w:rPr>
          <w:rFonts w:hint="eastAsia"/>
          <w:sz w:val="22"/>
          <w:szCs w:val="28"/>
          <w:highlight w:val="none"/>
        </w:rPr>
        <w:t>智能识别算法：深度智能识别算法，支持8种车型，11种车身颜色，220种车标，3000种子品牌等特征识别</w:t>
      </w:r>
    </w:p>
    <w:p>
      <w:pPr>
        <w:pStyle w:val="23"/>
        <w:numPr>
          <w:ilvl w:val="0"/>
          <w:numId w:val="15"/>
        </w:numPr>
        <w:spacing w:line="360" w:lineRule="auto"/>
        <w:ind w:firstLineChars="0"/>
        <w:rPr>
          <w:rFonts w:hint="eastAsia"/>
          <w:sz w:val="22"/>
          <w:szCs w:val="28"/>
          <w:highlight w:val="none"/>
        </w:rPr>
      </w:pPr>
      <w:r>
        <w:rPr>
          <w:rFonts w:hint="eastAsia"/>
          <w:sz w:val="22"/>
          <w:szCs w:val="28"/>
          <w:highlight w:val="none"/>
        </w:rPr>
        <w:t>黑白名单控制：可选配TF卡，支持黑、白名单的导入及对比，可直接联动道闸开闸，支持脱机运行</w:t>
      </w:r>
    </w:p>
    <w:p>
      <w:pPr>
        <w:pStyle w:val="23"/>
        <w:numPr>
          <w:ilvl w:val="0"/>
          <w:numId w:val="15"/>
        </w:numPr>
        <w:spacing w:line="360" w:lineRule="auto"/>
        <w:ind w:firstLineChars="0"/>
        <w:rPr>
          <w:rFonts w:hint="eastAsia"/>
          <w:sz w:val="22"/>
          <w:szCs w:val="28"/>
          <w:highlight w:val="none"/>
        </w:rPr>
      </w:pPr>
      <w:r>
        <w:rPr>
          <w:rFonts w:hint="eastAsia"/>
          <w:sz w:val="22"/>
          <w:szCs w:val="28"/>
          <w:highlight w:val="none"/>
        </w:rPr>
        <w:t>多种触发模式：支持线圈触发、视频触发等多种触发模式；捕获率高，纯视频识别，纯视频抓拍时可捕获无车牌，捕获率99.5%以上</w:t>
      </w:r>
    </w:p>
    <w:p>
      <w:pPr>
        <w:pStyle w:val="23"/>
        <w:numPr>
          <w:ilvl w:val="0"/>
          <w:numId w:val="15"/>
        </w:numPr>
        <w:spacing w:line="360" w:lineRule="auto"/>
        <w:ind w:firstLineChars="0"/>
        <w:rPr>
          <w:rFonts w:hint="eastAsia"/>
          <w:sz w:val="22"/>
          <w:szCs w:val="28"/>
          <w:highlight w:val="none"/>
        </w:rPr>
      </w:pPr>
      <w:r>
        <w:rPr>
          <w:rFonts w:hint="eastAsia"/>
          <w:sz w:val="22"/>
          <w:szCs w:val="28"/>
          <w:highlight w:val="none"/>
        </w:rPr>
        <w:t>防跟车模式：对于连续过车的场景，可实现跟车不落杆，有效解决拥堵问题</w:t>
      </w:r>
    </w:p>
    <w:p>
      <w:pPr>
        <w:pStyle w:val="23"/>
        <w:numPr>
          <w:ilvl w:val="0"/>
          <w:numId w:val="15"/>
        </w:numPr>
        <w:spacing w:line="360" w:lineRule="auto"/>
        <w:ind w:firstLineChars="0"/>
        <w:rPr>
          <w:rFonts w:hint="eastAsia"/>
          <w:sz w:val="22"/>
          <w:szCs w:val="28"/>
          <w:highlight w:val="none"/>
        </w:rPr>
      </w:pPr>
      <w:r>
        <w:rPr>
          <w:rFonts w:hint="eastAsia"/>
          <w:sz w:val="22"/>
          <w:szCs w:val="28"/>
          <w:highlight w:val="none"/>
        </w:rPr>
        <w:t>双灯一体化：内置红外白光一体化灯珠，有效满足不同的场景需求</w:t>
      </w:r>
      <w:r>
        <w:rPr>
          <w:rFonts w:hint="eastAsia"/>
          <w:sz w:val="22"/>
          <w:szCs w:val="28"/>
          <w:highlight w:val="none"/>
          <w:lang w:eastAsia="zh-CN"/>
        </w:rPr>
        <w:t>。</w:t>
      </w:r>
    </w:p>
    <w:p>
      <w:pPr>
        <w:pStyle w:val="2"/>
        <w:numPr>
          <w:ilvl w:val="0"/>
          <w:numId w:val="0"/>
        </w:numPr>
        <w:rPr>
          <w:highlight w:val="none"/>
        </w:rPr>
      </w:pPr>
      <w:bookmarkStart w:id="143" w:name="_Toc27151"/>
      <w:r>
        <w:rPr>
          <w:rFonts w:hint="eastAsia"/>
          <w:highlight w:val="none"/>
          <w:lang w:val="en-US"/>
        </w:rPr>
        <w:t>7.</w:t>
      </w:r>
      <w:r>
        <w:rPr>
          <w:rFonts w:hint="eastAsia"/>
          <w:highlight w:val="none"/>
          <w:lang w:val="en-US" w:eastAsia="zh-CN"/>
        </w:rPr>
        <w:t>3</w:t>
      </w:r>
      <w:r>
        <w:rPr>
          <w:highlight w:val="none"/>
        </w:rPr>
        <w:t xml:space="preserve"> </w:t>
      </w:r>
      <w:r>
        <w:rPr>
          <w:rFonts w:hint="eastAsia"/>
          <w:highlight w:val="none"/>
          <w:lang w:val="en-US"/>
        </w:rPr>
        <w:t>视频监控</w:t>
      </w:r>
      <w:r>
        <w:rPr>
          <w:rFonts w:hint="eastAsia"/>
          <w:highlight w:val="none"/>
        </w:rPr>
        <w:t>系统</w:t>
      </w:r>
      <w:bookmarkEnd w:id="143"/>
    </w:p>
    <w:p>
      <w:pPr>
        <w:keepNext w:val="0"/>
        <w:keepLines w:val="0"/>
        <w:pageBreakBefore w:val="0"/>
        <w:widowControl w:val="0"/>
        <w:kinsoku/>
        <w:wordWrap/>
        <w:overflowPunct/>
        <w:topLinePunct w:val="0"/>
        <w:autoSpaceDE/>
        <w:autoSpaceDN/>
        <w:bidi w:val="0"/>
        <w:adjustRightInd/>
        <w:snapToGrid/>
        <w:ind w:firstLine="0" w:firstLineChars="0"/>
        <w:textAlignment w:val="auto"/>
        <w:outlineLvl w:val="2"/>
        <w:rPr>
          <w:b/>
          <w:bCs/>
        </w:rPr>
      </w:pPr>
      <w:r>
        <w:rPr>
          <w:rFonts w:hint="eastAsia"/>
          <w:b/>
          <w:bCs/>
        </w:rPr>
        <w:t>7.</w:t>
      </w:r>
      <w:r>
        <w:rPr>
          <w:rFonts w:hint="eastAsia"/>
          <w:b/>
          <w:bCs/>
          <w:lang w:val="en-US" w:eastAsia="zh-CN"/>
        </w:rPr>
        <w:t>3</w:t>
      </w:r>
      <w:r>
        <w:rPr>
          <w:rFonts w:hint="eastAsia"/>
          <w:b/>
          <w:bCs/>
        </w:rPr>
        <w:t>.1、系统概述</w:t>
      </w:r>
    </w:p>
    <w:p>
      <w:pPr>
        <w:rPr>
          <w:highlight w:val="none"/>
        </w:rPr>
      </w:pPr>
      <w:r>
        <w:rPr>
          <w:rFonts w:hint="eastAsia"/>
          <w:highlight w:val="none"/>
        </w:rPr>
        <w:t>本项目拟</w:t>
      </w:r>
      <w:r>
        <w:rPr>
          <w:highlight w:val="none"/>
        </w:rPr>
        <w:t>建设视频监控系统，</w:t>
      </w:r>
      <w:r>
        <w:rPr>
          <w:rFonts w:hint="eastAsia"/>
          <w:highlight w:val="none"/>
        </w:rPr>
        <w:t>包括各地块的周界视频监控系统、特殊场景的监控系统等。</w:t>
      </w:r>
    </w:p>
    <w:p>
      <w:pPr>
        <w:rPr>
          <w:rFonts w:hint="eastAsia"/>
          <w:highlight w:val="none"/>
        </w:rPr>
      </w:pPr>
      <w:r>
        <w:rPr>
          <w:rFonts w:hint="eastAsia"/>
          <w:highlight w:val="none"/>
        </w:rPr>
        <w:t>各地块布点图如下：</w:t>
      </w:r>
    </w:p>
    <w:p>
      <w:pPr>
        <w:bidi w:val="0"/>
        <w:rPr>
          <w:rFonts w:hint="eastAsia"/>
        </w:rPr>
      </w:pPr>
      <w:r>
        <w:drawing>
          <wp:inline distT="0" distB="0" distL="114300" distR="114300">
            <wp:extent cx="5657215" cy="3521075"/>
            <wp:effectExtent l="0" t="0" r="698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657215" cy="352107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rPr>
      </w:pPr>
      <w:r>
        <w:rPr>
          <w:rFonts w:hint="eastAsia"/>
          <w:highlight w:val="none"/>
        </w:rPr>
        <w:t>道路监控</w:t>
      </w:r>
    </w:p>
    <w:p>
      <w:pPr>
        <w:pStyle w:val="6"/>
        <w:ind w:left="5040"/>
        <w:rPr>
          <w:rFonts w:hint="eastAsia"/>
          <w:highlight w:val="none"/>
        </w:rPr>
      </w:pPr>
    </w:p>
    <w:p>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highlight w:val="none"/>
        </w:rPr>
      </w:pPr>
      <w:r>
        <w:drawing>
          <wp:inline distT="0" distB="0" distL="114300" distR="114300">
            <wp:extent cx="5351145" cy="3870325"/>
            <wp:effectExtent l="0" t="0" r="8255"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5351145" cy="387032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rPr>
      </w:pPr>
      <w:r>
        <w:rPr>
          <w:rFonts w:hint="eastAsia"/>
          <w:highlight w:val="none"/>
        </w:rPr>
        <w:t>预制场围墙监控</w:t>
      </w:r>
    </w:p>
    <w:p>
      <w:pPr>
        <w:pStyle w:val="5"/>
        <w:rPr>
          <w:rFonts w:hint="eastAsia"/>
          <w:highlight w:val="none"/>
        </w:rPr>
      </w:pPr>
      <w:r>
        <w:drawing>
          <wp:inline distT="0" distB="0" distL="114300" distR="114300">
            <wp:extent cx="5931535" cy="4098925"/>
            <wp:effectExtent l="0" t="0" r="12065" b="31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931535" cy="409892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rPr>
      </w:pPr>
      <w:r>
        <w:rPr>
          <w:rFonts w:hint="eastAsia"/>
          <w:highlight w:val="none"/>
        </w:rPr>
        <w:t>门岗监控</w:t>
      </w:r>
    </w:p>
    <w:p>
      <w:pPr>
        <w:pStyle w:val="8"/>
        <w:keepNext w:val="0"/>
        <w:keepLines w:val="0"/>
        <w:pageBreakBefore w:val="0"/>
        <w:widowControl w:val="0"/>
        <w:kinsoku/>
        <w:wordWrap/>
        <w:overflowPunct/>
        <w:topLinePunct w:val="0"/>
        <w:autoSpaceDE/>
        <w:autoSpaceDN/>
        <w:bidi w:val="0"/>
        <w:adjustRightInd/>
        <w:snapToGrid/>
        <w:spacing w:after="0" w:line="360" w:lineRule="auto"/>
        <w:ind w:right="0"/>
        <w:textAlignment w:val="auto"/>
        <w:rPr>
          <w:highlight w:val="none"/>
        </w:rPr>
      </w:pPr>
      <w:r>
        <w:rPr>
          <w:highlight w:val="none"/>
        </w:rPr>
        <w:drawing>
          <wp:inline distT="0" distB="0" distL="0" distR="0">
            <wp:extent cx="5191125" cy="2781300"/>
            <wp:effectExtent l="0" t="0" r="3175" b="0"/>
            <wp:docPr id="6" name="图片 6" descr="C:\Users\ex_liuzp\AppData\Local\Temp\ksohtml1468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ex_liuzp\AppData\Local\Temp\ksohtml14680\wps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1125" cy="2781300"/>
                    </a:xfrm>
                    <a:prstGeom prst="rect">
                      <a:avLst/>
                    </a:prstGeom>
                    <a:noFill/>
                    <a:ln>
                      <a:noFill/>
                    </a:ln>
                  </pic:spPr>
                </pic:pic>
              </a:graphicData>
            </a:graphic>
          </wp:inline>
        </w:drawing>
      </w:r>
    </w:p>
    <w:p>
      <w:pPr>
        <w:pStyle w:val="8"/>
        <w:keepNext w:val="0"/>
        <w:keepLines w:val="0"/>
        <w:pageBreakBefore w:val="0"/>
        <w:widowControl w:val="0"/>
        <w:kinsoku/>
        <w:wordWrap/>
        <w:overflowPunct/>
        <w:topLinePunct w:val="0"/>
        <w:autoSpaceDE/>
        <w:autoSpaceDN/>
        <w:bidi w:val="0"/>
        <w:adjustRightInd/>
        <w:snapToGrid/>
        <w:spacing w:after="0" w:line="360" w:lineRule="auto"/>
        <w:ind w:right="0" w:firstLine="0" w:firstLineChars="0"/>
        <w:jc w:val="center"/>
        <w:textAlignment w:val="auto"/>
        <w:rPr>
          <w:highlight w:val="none"/>
        </w:rPr>
      </w:pPr>
      <w:r>
        <w:rPr>
          <w:rFonts w:hint="eastAsia" w:ascii="等线" w:hAnsi="等线" w:eastAsia="等线" w:cs="仿宋_GB2312"/>
          <w:highlight w:val="none"/>
        </w:rPr>
        <w:t>图：视频监控系统功能架构图</w:t>
      </w:r>
    </w:p>
    <w:p>
      <w:pPr>
        <w:keepNext w:val="0"/>
        <w:keepLines w:val="0"/>
        <w:pageBreakBefore w:val="0"/>
        <w:widowControl w:val="0"/>
        <w:kinsoku/>
        <w:wordWrap/>
        <w:overflowPunct/>
        <w:topLinePunct w:val="0"/>
        <w:autoSpaceDE/>
        <w:autoSpaceDN/>
        <w:bidi w:val="0"/>
        <w:adjustRightInd/>
        <w:snapToGrid/>
        <w:ind w:firstLine="0" w:firstLineChars="0"/>
        <w:textAlignment w:val="auto"/>
        <w:rPr>
          <w:b/>
          <w:bCs/>
        </w:rPr>
      </w:pPr>
      <w:r>
        <w:rPr>
          <w:rFonts w:hint="eastAsia"/>
          <w:b/>
          <w:bCs/>
        </w:rPr>
        <w:t>7.</w:t>
      </w:r>
      <w:r>
        <w:rPr>
          <w:rFonts w:hint="eastAsia"/>
          <w:b/>
          <w:bCs/>
          <w:lang w:val="en-US" w:eastAsia="zh-CN"/>
        </w:rPr>
        <w:t>3</w:t>
      </w:r>
      <w:r>
        <w:rPr>
          <w:rFonts w:hint="eastAsia"/>
          <w:b/>
          <w:bCs/>
        </w:rPr>
        <w:t>.2、硬件参数</w:t>
      </w:r>
    </w:p>
    <w:p>
      <w:pPr>
        <w:pStyle w:val="5"/>
        <w:numPr>
          <w:ilvl w:val="0"/>
          <w:numId w:val="16"/>
        </w:numPr>
        <w:spacing w:line="360" w:lineRule="auto"/>
        <w:ind w:left="425" w:leftChars="0" w:hanging="425" w:firstLineChars="0"/>
        <w:rPr>
          <w:b/>
          <w:sz w:val="24"/>
          <w:highlight w:val="none"/>
        </w:rPr>
      </w:pPr>
      <w:r>
        <w:rPr>
          <w:b/>
          <w:sz w:val="24"/>
          <w:highlight w:val="none"/>
        </w:rPr>
        <w:t>室外高清枪球一体摄像机</w:t>
      </w:r>
    </w:p>
    <w:p>
      <w:pPr>
        <w:numPr>
          <w:ilvl w:val="0"/>
          <w:numId w:val="17"/>
        </w:numPr>
        <w:ind w:left="845" w:leftChars="0" w:hanging="425" w:firstLineChars="0"/>
        <w:rPr>
          <w:rFonts w:hint="eastAsia"/>
          <w:sz w:val="22"/>
          <w:szCs w:val="22"/>
          <w:highlight w:val="none"/>
        </w:rPr>
      </w:pPr>
      <w:r>
        <w:rPr>
          <w:rFonts w:hint="eastAsia"/>
          <w:sz w:val="22"/>
          <w:szCs w:val="22"/>
          <w:highlight w:val="none"/>
        </w:rPr>
        <w:t>不少于400万智能枪球一体机</w:t>
      </w:r>
    </w:p>
    <w:p>
      <w:pPr>
        <w:numPr>
          <w:ilvl w:val="0"/>
          <w:numId w:val="17"/>
        </w:numPr>
        <w:ind w:left="845" w:leftChars="0" w:hanging="425" w:firstLineChars="0"/>
        <w:rPr>
          <w:rFonts w:hint="eastAsia"/>
          <w:sz w:val="22"/>
          <w:szCs w:val="22"/>
          <w:highlight w:val="none"/>
        </w:rPr>
      </w:pPr>
      <w:r>
        <w:rPr>
          <w:rFonts w:hint="eastAsia"/>
          <w:sz w:val="22"/>
          <w:szCs w:val="22"/>
          <w:highlight w:val="none"/>
        </w:rPr>
        <w:t>传感器类型：【全景】1/1.8＂ progressive scan CMOS；【细节】1/2.8＂ progressive scan CMOS</w:t>
      </w:r>
    </w:p>
    <w:p>
      <w:pPr>
        <w:numPr>
          <w:ilvl w:val="0"/>
          <w:numId w:val="17"/>
        </w:numPr>
        <w:ind w:left="845" w:leftChars="0" w:hanging="425" w:firstLineChars="0"/>
        <w:rPr>
          <w:rFonts w:hint="eastAsia"/>
          <w:sz w:val="22"/>
          <w:szCs w:val="22"/>
          <w:highlight w:val="none"/>
        </w:rPr>
      </w:pPr>
      <w:r>
        <w:rPr>
          <w:rFonts w:hint="eastAsia"/>
          <w:sz w:val="22"/>
          <w:szCs w:val="22"/>
          <w:highlight w:val="none"/>
        </w:rPr>
        <w:t>最低照度：【全景】彩色 0.0005Lux @ (F1.0，AGC ON)，黑白0.0001Lux @(F1.0，AGC ON)；【细节】彩色 0.005Lux @ (F1.6，AGC ON)，黑白0.001Lux @(F1.6，AGC ON)， 0Lux with IR；</w:t>
      </w:r>
    </w:p>
    <w:p>
      <w:pPr>
        <w:numPr>
          <w:ilvl w:val="0"/>
          <w:numId w:val="17"/>
        </w:numPr>
        <w:ind w:left="845" w:leftChars="0" w:hanging="425" w:firstLineChars="0"/>
        <w:rPr>
          <w:rFonts w:hint="eastAsia"/>
          <w:sz w:val="22"/>
          <w:szCs w:val="22"/>
          <w:highlight w:val="none"/>
        </w:rPr>
      </w:pPr>
      <w:r>
        <w:rPr>
          <w:rFonts w:hint="eastAsia"/>
          <w:sz w:val="22"/>
          <w:szCs w:val="22"/>
          <w:highlight w:val="none"/>
        </w:rPr>
        <w:t>全景镜头采用F1.0光圈定焦镜头，全景镜头支持拼接和非拼接模式</w:t>
      </w:r>
    </w:p>
    <w:p>
      <w:pPr>
        <w:numPr>
          <w:ilvl w:val="0"/>
          <w:numId w:val="17"/>
        </w:numPr>
        <w:ind w:left="845" w:leftChars="0" w:hanging="425" w:firstLineChars="0"/>
        <w:rPr>
          <w:rFonts w:hint="eastAsia"/>
          <w:sz w:val="22"/>
          <w:szCs w:val="22"/>
          <w:highlight w:val="none"/>
        </w:rPr>
      </w:pPr>
      <w:r>
        <w:rPr>
          <w:rFonts w:hint="eastAsia"/>
          <w:sz w:val="22"/>
          <w:szCs w:val="22"/>
          <w:highlight w:val="none"/>
        </w:rPr>
        <w:t>细节镜头支持人脸，非机动车识别、机动车车牌识别等全结构化功能，更好的助力街面、工厂和园区的人车管理</w:t>
      </w:r>
    </w:p>
    <w:p>
      <w:pPr>
        <w:numPr>
          <w:ilvl w:val="0"/>
          <w:numId w:val="17"/>
        </w:numPr>
        <w:ind w:left="845" w:leftChars="0" w:hanging="425" w:firstLineChars="0"/>
        <w:rPr>
          <w:rFonts w:hint="eastAsia"/>
          <w:sz w:val="22"/>
          <w:szCs w:val="22"/>
          <w:highlight w:val="none"/>
        </w:rPr>
      </w:pPr>
      <w:r>
        <w:rPr>
          <w:rFonts w:hint="eastAsia"/>
          <w:sz w:val="22"/>
          <w:szCs w:val="22"/>
          <w:highlight w:val="none"/>
        </w:rPr>
        <w:t>全景支持PTR三向手动可调，水平0°-90°，垂直0-350°，旋转0-350°</w:t>
      </w:r>
    </w:p>
    <w:p>
      <w:pPr>
        <w:numPr>
          <w:ilvl w:val="0"/>
          <w:numId w:val="17"/>
        </w:numPr>
        <w:ind w:left="845" w:leftChars="0" w:hanging="425" w:firstLineChars="0"/>
        <w:rPr>
          <w:rFonts w:hint="eastAsia"/>
          <w:sz w:val="22"/>
          <w:szCs w:val="22"/>
          <w:highlight w:val="none"/>
        </w:rPr>
      </w:pPr>
      <w:r>
        <w:rPr>
          <w:rFonts w:hint="eastAsia"/>
          <w:sz w:val="22"/>
          <w:szCs w:val="22"/>
          <w:highlight w:val="none"/>
        </w:rPr>
        <w:t>支持智能资源模式切换：通道1（细节）支持全结构化、Smart事件</w:t>
      </w:r>
    </w:p>
    <w:p>
      <w:pPr>
        <w:numPr>
          <w:ilvl w:val="0"/>
          <w:numId w:val="17"/>
        </w:numPr>
        <w:ind w:left="845" w:leftChars="0" w:hanging="425" w:firstLineChars="0"/>
        <w:rPr>
          <w:rFonts w:hint="eastAsia"/>
          <w:sz w:val="22"/>
          <w:szCs w:val="22"/>
          <w:highlight w:val="none"/>
        </w:rPr>
      </w:pPr>
      <w:r>
        <w:rPr>
          <w:rFonts w:hint="eastAsia"/>
          <w:sz w:val="22"/>
          <w:szCs w:val="22"/>
          <w:highlight w:val="none"/>
        </w:rPr>
        <w:t>光学变倍：【细节】≥25倍</w:t>
      </w:r>
    </w:p>
    <w:p>
      <w:pPr>
        <w:numPr>
          <w:ilvl w:val="0"/>
          <w:numId w:val="17"/>
        </w:numPr>
        <w:ind w:left="845" w:leftChars="0" w:hanging="425" w:firstLineChars="0"/>
        <w:rPr>
          <w:rFonts w:hint="eastAsia"/>
          <w:sz w:val="22"/>
          <w:szCs w:val="22"/>
          <w:highlight w:val="none"/>
        </w:rPr>
      </w:pPr>
      <w:r>
        <w:rPr>
          <w:rFonts w:hint="eastAsia"/>
          <w:sz w:val="22"/>
          <w:szCs w:val="22"/>
          <w:highlight w:val="none"/>
        </w:rPr>
        <w:t>【细节】混合补光，补光灯距离：【全景】≥30m白光，白光20米人脸，红外补光≥100米，细节支持2颗白光警戒灯</w:t>
      </w:r>
    </w:p>
    <w:p>
      <w:pPr>
        <w:numPr>
          <w:ilvl w:val="0"/>
          <w:numId w:val="17"/>
        </w:numPr>
        <w:ind w:left="845" w:leftChars="0" w:hanging="425" w:firstLineChars="0"/>
        <w:rPr>
          <w:rFonts w:hint="eastAsia"/>
          <w:sz w:val="22"/>
          <w:szCs w:val="22"/>
          <w:highlight w:val="none"/>
        </w:rPr>
      </w:pPr>
      <w:r>
        <w:rPr>
          <w:rFonts w:hint="eastAsia"/>
          <w:sz w:val="22"/>
          <w:szCs w:val="22"/>
          <w:highlight w:val="none"/>
        </w:rPr>
        <w:t>宽动态：120dB</w:t>
      </w:r>
    </w:p>
    <w:p>
      <w:pPr>
        <w:numPr>
          <w:ilvl w:val="0"/>
          <w:numId w:val="17"/>
        </w:numPr>
        <w:ind w:left="845" w:leftChars="0" w:hanging="425" w:firstLineChars="0"/>
        <w:rPr>
          <w:rFonts w:hint="eastAsia"/>
          <w:sz w:val="22"/>
          <w:szCs w:val="22"/>
          <w:highlight w:val="none"/>
        </w:rPr>
      </w:pPr>
      <w:r>
        <w:rPr>
          <w:rFonts w:hint="eastAsia"/>
          <w:sz w:val="22"/>
          <w:szCs w:val="22"/>
          <w:highlight w:val="none"/>
        </w:rPr>
        <w:t>支持一键拼接功能，可将2个全景画面进行拼接输出，在拼接模式下，设备可输出全景和细节2个视频画面，在非拼接模式下，设备可输出全景通道1、全景通道2和细节通道共3个视频画面</w:t>
      </w:r>
    </w:p>
    <w:p>
      <w:pPr>
        <w:numPr>
          <w:ilvl w:val="0"/>
          <w:numId w:val="17"/>
        </w:numPr>
        <w:ind w:left="845" w:leftChars="0" w:hanging="425" w:firstLineChars="0"/>
        <w:rPr>
          <w:rFonts w:hint="eastAsia"/>
          <w:sz w:val="22"/>
          <w:szCs w:val="22"/>
          <w:highlight w:val="none"/>
        </w:rPr>
      </w:pPr>
      <w:r>
        <w:rPr>
          <w:rFonts w:hint="eastAsia"/>
          <w:sz w:val="22"/>
          <w:szCs w:val="22"/>
          <w:highlight w:val="none"/>
        </w:rPr>
        <w:t>支持全景通道1和全景通道2具备锁紧装置，在松开锁紧装置后，全景1通道和全景2通道可以进行水平和垂直调节。在紧固锁紧装置后，全景1通道和全景2通道不可以进行水平和垂直调节</w:t>
      </w:r>
    </w:p>
    <w:p>
      <w:pPr>
        <w:numPr>
          <w:ilvl w:val="0"/>
          <w:numId w:val="17"/>
        </w:numPr>
        <w:ind w:left="845" w:leftChars="0" w:hanging="425" w:firstLineChars="0"/>
        <w:rPr>
          <w:rFonts w:hint="eastAsia"/>
          <w:sz w:val="22"/>
          <w:szCs w:val="22"/>
          <w:highlight w:val="none"/>
        </w:rPr>
      </w:pPr>
      <w:r>
        <w:rPr>
          <w:rFonts w:hint="eastAsia"/>
          <w:sz w:val="22"/>
          <w:szCs w:val="22"/>
          <w:highlight w:val="none"/>
        </w:rPr>
        <w:t>设备支持双安装接口，1个为快速旋转安装接口，1个为多孔稳定安装接口。</w:t>
      </w:r>
    </w:p>
    <w:p>
      <w:pPr>
        <w:numPr>
          <w:ilvl w:val="0"/>
          <w:numId w:val="17"/>
        </w:numPr>
        <w:ind w:left="845" w:leftChars="0" w:hanging="425" w:firstLineChars="0"/>
        <w:rPr>
          <w:rFonts w:hint="eastAsia"/>
          <w:sz w:val="22"/>
          <w:szCs w:val="22"/>
          <w:highlight w:val="none"/>
        </w:rPr>
      </w:pPr>
      <w:r>
        <w:rPr>
          <w:rFonts w:hint="eastAsia"/>
          <w:sz w:val="22"/>
          <w:szCs w:val="22"/>
          <w:highlight w:val="none"/>
        </w:rPr>
        <w:t>内置麦克风：左右海螺≥1个mic；内置扬声器：内置≥1个内置扬声器</w:t>
      </w:r>
    </w:p>
    <w:p>
      <w:pPr>
        <w:numPr>
          <w:ilvl w:val="0"/>
          <w:numId w:val="17"/>
        </w:numPr>
        <w:ind w:left="845" w:leftChars="0" w:hanging="425" w:firstLineChars="0"/>
        <w:rPr>
          <w:rFonts w:hint="eastAsia"/>
          <w:sz w:val="22"/>
          <w:szCs w:val="22"/>
          <w:highlight w:val="none"/>
        </w:rPr>
      </w:pPr>
      <w:r>
        <w:rPr>
          <w:rFonts w:hint="eastAsia"/>
          <w:sz w:val="22"/>
          <w:szCs w:val="22"/>
          <w:highlight w:val="none"/>
        </w:rPr>
        <w:t>网络接口：自适应网络数据,支持100M网络数据,RJ45网口</w:t>
      </w:r>
    </w:p>
    <w:p>
      <w:pPr>
        <w:numPr>
          <w:ilvl w:val="0"/>
          <w:numId w:val="17"/>
        </w:numPr>
        <w:ind w:left="845" w:leftChars="0" w:hanging="425" w:firstLineChars="0"/>
        <w:rPr>
          <w:rFonts w:hint="eastAsia"/>
          <w:sz w:val="22"/>
          <w:szCs w:val="22"/>
          <w:highlight w:val="none"/>
        </w:rPr>
      </w:pPr>
      <w:r>
        <w:rPr>
          <w:rFonts w:hint="eastAsia"/>
          <w:sz w:val="22"/>
          <w:szCs w:val="22"/>
          <w:highlight w:val="none"/>
        </w:rPr>
        <w:t>SD卡扩展：支持内置MicroSD卡槽，最大512GB</w:t>
      </w:r>
    </w:p>
    <w:p>
      <w:pPr>
        <w:numPr>
          <w:ilvl w:val="0"/>
          <w:numId w:val="17"/>
        </w:numPr>
        <w:ind w:left="845" w:leftChars="0" w:hanging="425" w:firstLineChars="0"/>
        <w:rPr>
          <w:rFonts w:hint="eastAsia"/>
          <w:sz w:val="22"/>
          <w:szCs w:val="22"/>
          <w:highlight w:val="none"/>
        </w:rPr>
      </w:pPr>
      <w:r>
        <w:rPr>
          <w:rFonts w:hint="eastAsia"/>
          <w:sz w:val="22"/>
          <w:szCs w:val="22"/>
          <w:highlight w:val="none"/>
        </w:rPr>
        <w:t>报警：≥2路报警输入，≥1路报警输出，音频：≥1路音频输入，≥1路音频输出</w:t>
      </w:r>
    </w:p>
    <w:p>
      <w:pPr>
        <w:numPr>
          <w:ilvl w:val="0"/>
          <w:numId w:val="17"/>
        </w:numPr>
        <w:ind w:left="845" w:leftChars="0" w:hanging="425" w:firstLineChars="0"/>
        <w:rPr>
          <w:rFonts w:hint="eastAsia"/>
          <w:sz w:val="22"/>
          <w:szCs w:val="22"/>
          <w:highlight w:val="none"/>
        </w:rPr>
      </w:pPr>
      <w:r>
        <w:rPr>
          <w:rFonts w:hint="eastAsia"/>
          <w:sz w:val="22"/>
          <w:szCs w:val="22"/>
          <w:highlight w:val="none"/>
        </w:rPr>
        <w:t>RS-485：采用半双工模式</w:t>
      </w:r>
    </w:p>
    <w:p>
      <w:pPr>
        <w:numPr>
          <w:ilvl w:val="0"/>
          <w:numId w:val="17"/>
        </w:numPr>
        <w:ind w:left="845" w:leftChars="0" w:hanging="425" w:firstLineChars="0"/>
        <w:rPr>
          <w:rFonts w:hint="eastAsia"/>
          <w:sz w:val="22"/>
          <w:szCs w:val="22"/>
          <w:highlight w:val="none"/>
        </w:rPr>
      </w:pPr>
      <w:r>
        <w:rPr>
          <w:rFonts w:hint="eastAsia"/>
          <w:sz w:val="22"/>
          <w:szCs w:val="22"/>
          <w:highlight w:val="none"/>
        </w:rPr>
        <w:t>电源：DC12V,3.33A</w:t>
      </w:r>
    </w:p>
    <w:p>
      <w:pPr>
        <w:numPr>
          <w:ilvl w:val="0"/>
          <w:numId w:val="17"/>
        </w:numPr>
        <w:ind w:left="845" w:leftChars="0" w:hanging="425" w:firstLineChars="0"/>
        <w:rPr>
          <w:sz w:val="22"/>
          <w:szCs w:val="22"/>
          <w:highlight w:val="none"/>
        </w:rPr>
      </w:pPr>
      <w:r>
        <w:rPr>
          <w:rFonts w:hint="eastAsia"/>
          <w:sz w:val="22"/>
          <w:szCs w:val="22"/>
          <w:highlight w:val="none"/>
        </w:rPr>
        <w:t>防护：IP67；6000 V防雷、防浪涌、防突波，符合GB/T17626.2/3/4/5/6四级标准</w:t>
      </w:r>
    </w:p>
    <w:p>
      <w:pPr>
        <w:pStyle w:val="5"/>
        <w:numPr>
          <w:ilvl w:val="0"/>
          <w:numId w:val="16"/>
        </w:numPr>
        <w:spacing w:line="360" w:lineRule="auto"/>
        <w:ind w:left="425" w:leftChars="0" w:hanging="425" w:firstLineChars="0"/>
        <w:rPr>
          <w:rFonts w:hint="eastAsia"/>
          <w:b/>
          <w:bCs w:val="0"/>
          <w:highlight w:val="none"/>
        </w:rPr>
      </w:pPr>
      <w:r>
        <w:rPr>
          <w:rFonts w:hint="eastAsia"/>
          <w:b/>
          <w:bCs w:val="0"/>
          <w:sz w:val="24"/>
          <w:highlight w:val="none"/>
        </w:rPr>
        <w:t>高清摄像机</w:t>
      </w:r>
    </w:p>
    <w:p>
      <w:pPr>
        <w:pStyle w:val="23"/>
        <w:numPr>
          <w:ilvl w:val="0"/>
          <w:numId w:val="18"/>
        </w:numPr>
        <w:spacing w:line="360" w:lineRule="auto"/>
        <w:ind w:firstLineChars="0"/>
        <w:rPr>
          <w:rFonts w:hint="eastAsia"/>
          <w:sz w:val="22"/>
          <w:highlight w:val="none"/>
        </w:rPr>
      </w:pPr>
      <w:r>
        <w:rPr>
          <w:rFonts w:hint="eastAsia"/>
          <w:sz w:val="22"/>
          <w:highlight w:val="none"/>
        </w:rPr>
        <w:t>不少于400万智能黑光球机</w:t>
      </w:r>
    </w:p>
    <w:p>
      <w:pPr>
        <w:pStyle w:val="23"/>
        <w:numPr>
          <w:ilvl w:val="0"/>
          <w:numId w:val="18"/>
        </w:numPr>
        <w:spacing w:line="360" w:lineRule="auto"/>
        <w:ind w:firstLineChars="0"/>
        <w:rPr>
          <w:rFonts w:hint="eastAsia"/>
          <w:sz w:val="22"/>
          <w:highlight w:val="none"/>
        </w:rPr>
      </w:pPr>
      <w:r>
        <w:rPr>
          <w:rFonts w:hint="eastAsia"/>
          <w:sz w:val="22"/>
          <w:highlight w:val="none"/>
        </w:rPr>
        <w:t>传感器类型：1/1.8＂ progressive scan CMOS，双sensor架构</w:t>
      </w:r>
    </w:p>
    <w:p>
      <w:pPr>
        <w:pStyle w:val="23"/>
        <w:numPr>
          <w:ilvl w:val="0"/>
          <w:numId w:val="18"/>
        </w:numPr>
        <w:spacing w:line="360" w:lineRule="auto"/>
        <w:ind w:firstLineChars="0"/>
        <w:rPr>
          <w:rFonts w:hint="eastAsia"/>
          <w:sz w:val="22"/>
          <w:highlight w:val="none"/>
        </w:rPr>
      </w:pPr>
      <w:r>
        <w:rPr>
          <w:rFonts w:hint="eastAsia"/>
          <w:sz w:val="22"/>
          <w:highlight w:val="none"/>
        </w:rPr>
        <w:t>最低照度彩色不大于0.0002 lx，黑白不大于0.0001 lx</w:t>
      </w:r>
    </w:p>
    <w:p>
      <w:pPr>
        <w:pStyle w:val="23"/>
        <w:numPr>
          <w:ilvl w:val="0"/>
          <w:numId w:val="18"/>
        </w:numPr>
        <w:spacing w:line="360" w:lineRule="auto"/>
        <w:ind w:firstLineChars="0"/>
        <w:rPr>
          <w:rFonts w:hint="eastAsia"/>
          <w:sz w:val="22"/>
          <w:highlight w:val="none"/>
        </w:rPr>
      </w:pPr>
      <w:r>
        <w:rPr>
          <w:rFonts w:hint="eastAsia"/>
          <w:sz w:val="22"/>
          <w:highlight w:val="none"/>
        </w:rPr>
        <w:t>支持混合目标检测，对检测区域内的人、非机动车、车进行同时抓拍上传，人脸人体关联输出，并实现对人脸、人体、车辆结构化属性特征信息提取</w:t>
      </w:r>
    </w:p>
    <w:p>
      <w:pPr>
        <w:pStyle w:val="23"/>
        <w:numPr>
          <w:ilvl w:val="0"/>
          <w:numId w:val="18"/>
        </w:numPr>
        <w:spacing w:line="360" w:lineRule="auto"/>
        <w:ind w:firstLineChars="0"/>
        <w:rPr>
          <w:rFonts w:hint="eastAsia"/>
          <w:sz w:val="22"/>
          <w:highlight w:val="none"/>
        </w:rPr>
      </w:pPr>
      <w:r>
        <w:rPr>
          <w:rFonts w:hint="eastAsia"/>
          <w:sz w:val="22"/>
          <w:highlight w:val="none"/>
        </w:rPr>
        <w:t>支持300个预置位，可设置8条巡航路径。支持预置位视频冻结功能</w:t>
      </w:r>
    </w:p>
    <w:p>
      <w:pPr>
        <w:pStyle w:val="23"/>
        <w:numPr>
          <w:ilvl w:val="0"/>
          <w:numId w:val="18"/>
        </w:numPr>
        <w:spacing w:line="360" w:lineRule="auto"/>
        <w:ind w:firstLineChars="0"/>
        <w:rPr>
          <w:rFonts w:hint="eastAsia"/>
          <w:sz w:val="22"/>
          <w:highlight w:val="none"/>
        </w:rPr>
      </w:pPr>
      <w:r>
        <w:rPr>
          <w:rFonts w:hint="eastAsia"/>
          <w:sz w:val="22"/>
          <w:highlight w:val="none"/>
        </w:rPr>
        <w:t>光学变倍：≥35倍，最大焦距≥206mm</w:t>
      </w:r>
    </w:p>
    <w:p>
      <w:pPr>
        <w:pStyle w:val="23"/>
        <w:numPr>
          <w:ilvl w:val="0"/>
          <w:numId w:val="18"/>
        </w:numPr>
        <w:spacing w:line="360" w:lineRule="auto"/>
        <w:ind w:firstLineChars="0"/>
        <w:rPr>
          <w:rFonts w:hint="eastAsia"/>
          <w:sz w:val="22"/>
          <w:highlight w:val="none"/>
        </w:rPr>
      </w:pPr>
      <w:r>
        <w:rPr>
          <w:rFonts w:hint="eastAsia"/>
          <w:sz w:val="22"/>
          <w:highlight w:val="none"/>
        </w:rPr>
        <w:t>红外照射距离：≥250 m，防补光过曝：支持</w:t>
      </w:r>
    </w:p>
    <w:p>
      <w:pPr>
        <w:pStyle w:val="23"/>
        <w:numPr>
          <w:ilvl w:val="0"/>
          <w:numId w:val="18"/>
        </w:numPr>
        <w:spacing w:line="360" w:lineRule="auto"/>
        <w:ind w:firstLineChars="0"/>
        <w:rPr>
          <w:rFonts w:hint="eastAsia"/>
          <w:sz w:val="22"/>
          <w:highlight w:val="none"/>
        </w:rPr>
      </w:pPr>
      <w:r>
        <w:rPr>
          <w:rFonts w:hint="eastAsia"/>
          <w:sz w:val="22"/>
          <w:highlight w:val="none"/>
        </w:rPr>
        <w:t>水平范围：360°，垂直范围：-20°-90°(自动翻转)</w:t>
      </w:r>
    </w:p>
    <w:p>
      <w:pPr>
        <w:pStyle w:val="23"/>
        <w:numPr>
          <w:ilvl w:val="0"/>
          <w:numId w:val="18"/>
        </w:numPr>
        <w:spacing w:line="360" w:lineRule="auto"/>
        <w:ind w:firstLineChars="0"/>
        <w:rPr>
          <w:rFonts w:hint="eastAsia"/>
          <w:sz w:val="22"/>
          <w:highlight w:val="none"/>
        </w:rPr>
      </w:pPr>
      <w:r>
        <w:rPr>
          <w:rFonts w:hint="eastAsia"/>
          <w:sz w:val="22"/>
          <w:highlight w:val="none"/>
        </w:rPr>
        <w:t>子码流：H.264/H.265/MJPEG，第三码流：H.264/H.265/MJPEG</w:t>
      </w:r>
    </w:p>
    <w:p>
      <w:pPr>
        <w:pStyle w:val="23"/>
        <w:numPr>
          <w:ilvl w:val="0"/>
          <w:numId w:val="18"/>
        </w:numPr>
        <w:spacing w:line="360" w:lineRule="auto"/>
        <w:ind w:firstLineChars="0"/>
        <w:rPr>
          <w:rFonts w:hint="eastAsia"/>
          <w:sz w:val="22"/>
          <w:highlight w:val="none"/>
        </w:rPr>
      </w:pPr>
      <w:r>
        <w:rPr>
          <w:rFonts w:hint="eastAsia"/>
          <w:sz w:val="22"/>
          <w:highlight w:val="none"/>
        </w:rPr>
        <w:t>宽动态：120 dB超宽动态</w:t>
      </w:r>
    </w:p>
    <w:p>
      <w:pPr>
        <w:pStyle w:val="23"/>
        <w:numPr>
          <w:ilvl w:val="0"/>
          <w:numId w:val="18"/>
        </w:numPr>
        <w:spacing w:line="360" w:lineRule="auto"/>
        <w:ind w:firstLineChars="0"/>
        <w:rPr>
          <w:rFonts w:hint="eastAsia"/>
          <w:sz w:val="22"/>
          <w:highlight w:val="none"/>
        </w:rPr>
      </w:pPr>
      <w:r>
        <w:rPr>
          <w:rFonts w:hint="eastAsia"/>
          <w:sz w:val="22"/>
          <w:highlight w:val="none"/>
        </w:rPr>
        <w:t>内置GPU芯片，可同时对行人、非机动车、机动车进行检测、跟踪及抓拍，可支持人脸与人体、车牌与车辆的关联显示；</w:t>
      </w:r>
    </w:p>
    <w:p>
      <w:pPr>
        <w:pStyle w:val="23"/>
        <w:numPr>
          <w:ilvl w:val="0"/>
          <w:numId w:val="18"/>
        </w:numPr>
        <w:spacing w:line="360" w:lineRule="auto"/>
        <w:ind w:firstLineChars="0"/>
        <w:rPr>
          <w:rFonts w:hint="eastAsia"/>
          <w:sz w:val="22"/>
          <w:highlight w:val="none"/>
        </w:rPr>
      </w:pPr>
      <w:r>
        <w:rPr>
          <w:rFonts w:hint="eastAsia"/>
          <w:sz w:val="22"/>
          <w:highlight w:val="none"/>
        </w:rPr>
        <w:t>支持300个预置位，可设置8条巡航路径。支持预置位视频冻结功能；</w:t>
      </w:r>
    </w:p>
    <w:p>
      <w:pPr>
        <w:pStyle w:val="23"/>
        <w:numPr>
          <w:ilvl w:val="1"/>
          <w:numId w:val="18"/>
        </w:numPr>
        <w:spacing w:line="360" w:lineRule="auto"/>
        <w:ind w:firstLineChars="0"/>
        <w:rPr>
          <w:rFonts w:hint="eastAsia"/>
          <w:sz w:val="22"/>
          <w:highlight w:val="none"/>
        </w:rPr>
      </w:pPr>
      <w:r>
        <w:rPr>
          <w:rFonts w:hint="eastAsia"/>
          <w:sz w:val="22"/>
          <w:highlight w:val="none"/>
        </w:rPr>
        <w:t>支持内置2个图像传感器，可分别输出黑白视频图像和彩色视频图像，并可对这两路视频图像进行融合输出（需提供公安部检验报告证明并加盖原厂商公章为准）</w:t>
      </w:r>
    </w:p>
    <w:p>
      <w:pPr>
        <w:pStyle w:val="23"/>
        <w:numPr>
          <w:ilvl w:val="1"/>
          <w:numId w:val="18"/>
        </w:numPr>
        <w:spacing w:line="360" w:lineRule="auto"/>
        <w:ind w:firstLineChars="0"/>
        <w:rPr>
          <w:rFonts w:hint="eastAsia"/>
          <w:sz w:val="22"/>
          <w:highlight w:val="none"/>
        </w:rPr>
      </w:pPr>
      <w:r>
        <w:rPr>
          <w:rFonts w:hint="eastAsia"/>
          <w:sz w:val="22"/>
          <w:highlight w:val="none"/>
        </w:rPr>
        <w:t>支持设备在近光灯、中光灯开启后，在变焦过程中红外光斑形状为矩形，长宽比为16:9;</w:t>
      </w:r>
    </w:p>
    <w:p>
      <w:pPr>
        <w:pStyle w:val="23"/>
        <w:numPr>
          <w:ilvl w:val="1"/>
          <w:numId w:val="18"/>
        </w:numPr>
        <w:spacing w:line="360" w:lineRule="auto"/>
        <w:ind w:firstLineChars="0"/>
        <w:rPr>
          <w:rFonts w:hint="eastAsia"/>
          <w:sz w:val="22"/>
          <w:highlight w:val="none"/>
        </w:rPr>
      </w:pPr>
      <w:r>
        <w:rPr>
          <w:rFonts w:hint="eastAsia"/>
          <w:sz w:val="22"/>
          <w:highlight w:val="none"/>
        </w:rPr>
        <w:t>支持可从诊断信息中导出云台控制历史记录，包括：手动键控PTZ、3D定位、手动调用预置点、手动调用花扫、手动调用巡航</w:t>
      </w:r>
    </w:p>
    <w:p>
      <w:pPr>
        <w:pStyle w:val="23"/>
        <w:numPr>
          <w:ilvl w:val="0"/>
          <w:numId w:val="18"/>
        </w:numPr>
        <w:spacing w:line="360" w:lineRule="auto"/>
        <w:ind w:firstLineChars="0"/>
        <w:rPr>
          <w:rFonts w:hint="eastAsia"/>
          <w:sz w:val="22"/>
          <w:highlight w:val="none"/>
        </w:rPr>
      </w:pPr>
      <w:r>
        <w:rPr>
          <w:rFonts w:hint="eastAsia"/>
          <w:sz w:val="22"/>
          <w:highlight w:val="none"/>
        </w:rPr>
        <w:t>音频：≥1路音频输入，≥1路音频输出；报警：≥7路报警输入，≥2路报警输出</w:t>
      </w:r>
    </w:p>
    <w:p>
      <w:pPr>
        <w:pStyle w:val="23"/>
        <w:numPr>
          <w:ilvl w:val="0"/>
          <w:numId w:val="18"/>
        </w:numPr>
        <w:spacing w:line="360" w:lineRule="auto"/>
        <w:ind w:firstLineChars="0"/>
        <w:rPr>
          <w:rFonts w:hint="eastAsia"/>
          <w:sz w:val="22"/>
          <w:highlight w:val="none"/>
        </w:rPr>
      </w:pPr>
      <w:r>
        <w:rPr>
          <w:rFonts w:hint="eastAsia"/>
          <w:sz w:val="22"/>
          <w:highlight w:val="none"/>
        </w:rPr>
        <w:t>网络接口：RJ45网口，自适应10M/100M网络数据</w:t>
      </w:r>
    </w:p>
    <w:p>
      <w:pPr>
        <w:pStyle w:val="23"/>
        <w:numPr>
          <w:ilvl w:val="0"/>
          <w:numId w:val="18"/>
        </w:numPr>
        <w:spacing w:line="360" w:lineRule="auto"/>
        <w:ind w:firstLineChars="0"/>
        <w:rPr>
          <w:rFonts w:hint="eastAsia"/>
          <w:sz w:val="22"/>
          <w:highlight w:val="none"/>
        </w:rPr>
      </w:pPr>
      <w:r>
        <w:rPr>
          <w:rFonts w:hint="eastAsia"/>
          <w:sz w:val="22"/>
          <w:highlight w:val="none"/>
        </w:rPr>
        <w:t>SD卡扩展：支持Micro SD/Micro SDHC/Micro SDXC卡,最大支持256G</w:t>
      </w:r>
    </w:p>
    <w:p>
      <w:pPr>
        <w:pStyle w:val="23"/>
        <w:numPr>
          <w:ilvl w:val="0"/>
          <w:numId w:val="18"/>
        </w:numPr>
        <w:spacing w:line="360" w:lineRule="auto"/>
        <w:ind w:firstLineChars="0"/>
        <w:rPr>
          <w:rFonts w:hint="eastAsia"/>
          <w:sz w:val="22"/>
          <w:highlight w:val="none"/>
        </w:rPr>
      </w:pPr>
      <w:r>
        <w:rPr>
          <w:rFonts w:hint="eastAsia"/>
          <w:sz w:val="22"/>
          <w:highlight w:val="none"/>
        </w:rPr>
        <w:t>RS485接口：采用半双工模式</w:t>
      </w:r>
    </w:p>
    <w:p>
      <w:pPr>
        <w:pStyle w:val="23"/>
        <w:numPr>
          <w:ilvl w:val="0"/>
          <w:numId w:val="18"/>
        </w:numPr>
        <w:spacing w:line="360" w:lineRule="auto"/>
        <w:ind w:firstLineChars="0"/>
        <w:rPr>
          <w:rFonts w:hint="eastAsia"/>
          <w:sz w:val="22"/>
          <w:highlight w:val="none"/>
        </w:rPr>
      </w:pPr>
      <w:r>
        <w:rPr>
          <w:rFonts w:hint="eastAsia"/>
          <w:sz w:val="22"/>
          <w:highlight w:val="none"/>
        </w:rPr>
        <w:t>电源：供电：DC36 V，2.5 A</w:t>
      </w:r>
    </w:p>
    <w:p>
      <w:pPr>
        <w:pStyle w:val="23"/>
        <w:numPr>
          <w:ilvl w:val="0"/>
          <w:numId w:val="18"/>
        </w:numPr>
        <w:spacing w:line="360" w:lineRule="auto"/>
        <w:ind w:firstLineChars="0"/>
        <w:rPr>
          <w:rFonts w:hint="eastAsia"/>
          <w:highlight w:val="none"/>
        </w:rPr>
      </w:pPr>
      <w:r>
        <w:rPr>
          <w:rFonts w:hint="eastAsia"/>
          <w:sz w:val="22"/>
          <w:highlight w:val="none"/>
        </w:rPr>
        <w:t>防护：IP67; 6000V 防雷、防浪涌、防突波，符合GB/T17626.2/3/4/5/6四级标准</w:t>
      </w:r>
    </w:p>
    <w:p>
      <w:pPr>
        <w:pStyle w:val="5"/>
        <w:numPr>
          <w:ilvl w:val="0"/>
          <w:numId w:val="16"/>
        </w:numPr>
        <w:spacing w:line="360" w:lineRule="auto"/>
        <w:ind w:left="425" w:leftChars="0" w:hanging="425" w:firstLineChars="0"/>
        <w:rPr>
          <w:rFonts w:hint="eastAsia"/>
          <w:b/>
          <w:bCs w:val="0"/>
          <w:highlight w:val="none"/>
        </w:rPr>
      </w:pPr>
      <w:r>
        <w:rPr>
          <w:b/>
          <w:bCs w:val="0"/>
          <w:sz w:val="24"/>
          <w:highlight w:val="none"/>
        </w:rPr>
        <w:t>鹰眼摄像机</w:t>
      </w:r>
    </w:p>
    <w:p>
      <w:pPr>
        <w:pStyle w:val="5"/>
        <w:numPr>
          <w:ilvl w:val="0"/>
          <w:numId w:val="19"/>
        </w:numPr>
        <w:spacing w:line="360" w:lineRule="auto"/>
        <w:ind w:firstLineChars="0"/>
        <w:rPr>
          <w:rFonts w:hint="eastAsia"/>
          <w:sz w:val="22"/>
          <w:highlight w:val="none"/>
        </w:rPr>
      </w:pPr>
      <w:r>
        <w:rPr>
          <w:rFonts w:hint="eastAsia"/>
          <w:sz w:val="22"/>
          <w:highlight w:val="none"/>
        </w:rPr>
        <w:t>不少于2400万全景高空鹰眼摄像机</w:t>
      </w:r>
    </w:p>
    <w:p>
      <w:pPr>
        <w:pStyle w:val="5"/>
        <w:numPr>
          <w:ilvl w:val="0"/>
          <w:numId w:val="19"/>
        </w:numPr>
        <w:spacing w:line="360" w:lineRule="auto"/>
        <w:ind w:firstLineChars="0"/>
        <w:rPr>
          <w:rFonts w:hint="eastAsia"/>
          <w:sz w:val="22"/>
          <w:highlight w:val="none"/>
        </w:rPr>
      </w:pPr>
      <w:r>
        <w:rPr>
          <w:rFonts w:hint="eastAsia"/>
          <w:sz w:val="22"/>
          <w:highlight w:val="none"/>
        </w:rPr>
        <w:t>支持270° 无盲区球型摄像机，全景采用6个F1.0大光圈全彩镜头拼接而成，可输270°大场景拼接画面</w:t>
      </w:r>
    </w:p>
    <w:p>
      <w:pPr>
        <w:pStyle w:val="5"/>
        <w:numPr>
          <w:ilvl w:val="0"/>
          <w:numId w:val="19"/>
        </w:numPr>
        <w:spacing w:line="360" w:lineRule="auto"/>
        <w:ind w:firstLineChars="0"/>
        <w:rPr>
          <w:rFonts w:hint="eastAsia"/>
          <w:sz w:val="22"/>
          <w:highlight w:val="none"/>
        </w:rPr>
      </w:pPr>
      <w:r>
        <w:rPr>
          <w:rFonts w:hint="eastAsia"/>
          <w:sz w:val="22"/>
          <w:highlight w:val="none"/>
        </w:rPr>
        <w:t>传感器类型：【全景】1/1.8＂ progressive scan CMOS,【细节】1/1.8＂ progressive scan CMOS</w:t>
      </w:r>
    </w:p>
    <w:p>
      <w:pPr>
        <w:pStyle w:val="5"/>
        <w:numPr>
          <w:ilvl w:val="0"/>
          <w:numId w:val="19"/>
        </w:numPr>
        <w:spacing w:line="360" w:lineRule="auto"/>
        <w:ind w:firstLineChars="0"/>
        <w:rPr>
          <w:rFonts w:hint="eastAsia"/>
          <w:sz w:val="22"/>
          <w:highlight w:val="none"/>
        </w:rPr>
      </w:pPr>
      <w:r>
        <w:rPr>
          <w:rFonts w:hint="eastAsia"/>
          <w:sz w:val="22"/>
          <w:highlight w:val="none"/>
        </w:rPr>
        <w:t>最低照度：【全景】0.0005Lux/F1.0（彩色），0.0001Lux/F1.0（黑白）；【细节】星光级超低照度，0.0005Lux/F1.2（彩色），0.0001Lux/F1.2（黑白），0 Lux with IR</w:t>
      </w:r>
    </w:p>
    <w:p>
      <w:pPr>
        <w:pStyle w:val="5"/>
        <w:numPr>
          <w:ilvl w:val="0"/>
          <w:numId w:val="19"/>
        </w:numPr>
        <w:spacing w:line="360" w:lineRule="auto"/>
        <w:ind w:firstLineChars="0"/>
        <w:rPr>
          <w:rFonts w:hint="eastAsia"/>
          <w:sz w:val="22"/>
          <w:highlight w:val="none"/>
        </w:rPr>
      </w:pPr>
      <w:r>
        <w:rPr>
          <w:rFonts w:hint="eastAsia"/>
          <w:sz w:val="22"/>
          <w:highlight w:val="none"/>
        </w:rPr>
        <w:t>宽动态：全景不支持，细节支持120dB超宽动态</w:t>
      </w:r>
    </w:p>
    <w:p>
      <w:pPr>
        <w:pStyle w:val="5"/>
        <w:numPr>
          <w:ilvl w:val="0"/>
          <w:numId w:val="19"/>
        </w:numPr>
        <w:spacing w:line="360" w:lineRule="auto"/>
        <w:ind w:firstLineChars="0"/>
        <w:rPr>
          <w:rFonts w:hint="eastAsia"/>
          <w:sz w:val="22"/>
          <w:highlight w:val="none"/>
        </w:rPr>
      </w:pPr>
      <w:r>
        <w:rPr>
          <w:rFonts w:hint="eastAsia"/>
          <w:sz w:val="22"/>
          <w:highlight w:val="none"/>
        </w:rPr>
        <w:t>光学变倍：≥40倍</w:t>
      </w:r>
    </w:p>
    <w:p>
      <w:pPr>
        <w:pStyle w:val="5"/>
        <w:numPr>
          <w:ilvl w:val="0"/>
          <w:numId w:val="19"/>
        </w:numPr>
        <w:spacing w:line="360" w:lineRule="auto"/>
        <w:ind w:firstLineChars="0"/>
        <w:rPr>
          <w:rFonts w:hint="eastAsia"/>
          <w:sz w:val="22"/>
          <w:highlight w:val="none"/>
        </w:rPr>
      </w:pPr>
      <w:r>
        <w:rPr>
          <w:rFonts w:hint="eastAsia"/>
          <w:sz w:val="22"/>
          <w:highlight w:val="none"/>
        </w:rPr>
        <w:t>焦距：≥2 mm；【细节】最大焦距≥240 mm</w:t>
      </w:r>
    </w:p>
    <w:p>
      <w:pPr>
        <w:pStyle w:val="5"/>
        <w:numPr>
          <w:ilvl w:val="0"/>
          <w:numId w:val="19"/>
        </w:numPr>
        <w:spacing w:line="360" w:lineRule="auto"/>
        <w:ind w:firstLineChars="0"/>
        <w:rPr>
          <w:rFonts w:hint="eastAsia"/>
          <w:sz w:val="22"/>
          <w:highlight w:val="none"/>
        </w:rPr>
      </w:pPr>
      <w:r>
        <w:rPr>
          <w:rFonts w:hint="eastAsia"/>
          <w:sz w:val="22"/>
          <w:highlight w:val="none"/>
        </w:rPr>
        <w:t>红外照射距离：≥300m</w:t>
      </w:r>
    </w:p>
    <w:p>
      <w:pPr>
        <w:pStyle w:val="5"/>
        <w:numPr>
          <w:ilvl w:val="0"/>
          <w:numId w:val="19"/>
        </w:numPr>
        <w:spacing w:line="360" w:lineRule="auto"/>
        <w:ind w:firstLineChars="0"/>
        <w:rPr>
          <w:rFonts w:hint="eastAsia"/>
          <w:sz w:val="22"/>
          <w:highlight w:val="none"/>
        </w:rPr>
      </w:pPr>
      <w:r>
        <w:rPr>
          <w:rFonts w:hint="eastAsia"/>
          <w:sz w:val="22"/>
          <w:highlight w:val="none"/>
        </w:rPr>
        <w:t>防补光过曝：支持，水平范围：360°，垂直范围：-15°-90°(自动翻转)</w:t>
      </w:r>
    </w:p>
    <w:p>
      <w:pPr>
        <w:pStyle w:val="5"/>
        <w:numPr>
          <w:ilvl w:val="0"/>
          <w:numId w:val="19"/>
        </w:numPr>
        <w:spacing w:line="360" w:lineRule="auto"/>
        <w:ind w:firstLineChars="0"/>
        <w:rPr>
          <w:rFonts w:hint="eastAsia"/>
          <w:sz w:val="22"/>
          <w:highlight w:val="none"/>
        </w:rPr>
      </w:pPr>
      <w:r>
        <w:rPr>
          <w:rFonts w:hint="eastAsia"/>
          <w:sz w:val="22"/>
          <w:highlight w:val="none"/>
        </w:rPr>
        <w:t>卫星定位：支持北斗卫星定位</w:t>
      </w:r>
    </w:p>
    <w:p>
      <w:pPr>
        <w:pStyle w:val="5"/>
        <w:numPr>
          <w:ilvl w:val="0"/>
          <w:numId w:val="19"/>
        </w:numPr>
        <w:spacing w:line="360" w:lineRule="auto"/>
        <w:ind w:firstLineChars="0"/>
        <w:rPr>
          <w:rFonts w:hint="eastAsia"/>
          <w:sz w:val="22"/>
          <w:highlight w:val="none"/>
        </w:rPr>
      </w:pPr>
      <w:r>
        <w:rPr>
          <w:rFonts w:hint="eastAsia"/>
          <w:sz w:val="22"/>
          <w:highlight w:val="none"/>
        </w:rPr>
        <w:t>陀螺仪：支持，电子罗盘：支持</w:t>
      </w:r>
    </w:p>
    <w:p>
      <w:pPr>
        <w:pStyle w:val="5"/>
        <w:numPr>
          <w:ilvl w:val="1"/>
          <w:numId w:val="19"/>
        </w:numPr>
        <w:spacing w:line="360" w:lineRule="auto"/>
        <w:ind w:firstLineChars="0"/>
        <w:rPr>
          <w:rFonts w:hint="eastAsia"/>
          <w:sz w:val="22"/>
          <w:highlight w:val="none"/>
        </w:rPr>
      </w:pPr>
      <w:r>
        <w:rPr>
          <w:rFonts w:hint="eastAsia"/>
          <w:sz w:val="22"/>
          <w:highlight w:val="none"/>
        </w:rPr>
        <w:t>支持画中画功能，可通过IE浏览器在细节图像中叠加全景视频图像进行预览，具有偏色矫正功能，可通过手动或自动的方式对采集到的视频进行偏色矫正。</w:t>
      </w:r>
    </w:p>
    <w:p>
      <w:pPr>
        <w:pStyle w:val="5"/>
        <w:numPr>
          <w:ilvl w:val="1"/>
          <w:numId w:val="19"/>
        </w:numPr>
        <w:spacing w:line="360" w:lineRule="auto"/>
        <w:ind w:firstLineChars="0"/>
        <w:rPr>
          <w:rFonts w:hint="eastAsia"/>
          <w:sz w:val="22"/>
          <w:highlight w:val="none"/>
        </w:rPr>
      </w:pPr>
      <w:r>
        <w:rPr>
          <w:rFonts w:hint="eastAsia"/>
          <w:sz w:val="22"/>
          <w:highlight w:val="none"/>
        </w:rPr>
        <w:t>内置不少于3个GPU芯片，具备双安装接口，一个为快速旋转安装接口，一个为多孔稳定安装接口。</w:t>
      </w:r>
    </w:p>
    <w:p>
      <w:pPr>
        <w:pStyle w:val="5"/>
        <w:numPr>
          <w:ilvl w:val="1"/>
          <w:numId w:val="19"/>
        </w:numPr>
        <w:spacing w:line="360" w:lineRule="auto"/>
        <w:ind w:firstLineChars="0"/>
        <w:rPr>
          <w:rFonts w:hint="eastAsia"/>
          <w:sz w:val="22"/>
          <w:highlight w:val="none"/>
        </w:rPr>
      </w:pPr>
      <w:r>
        <w:rPr>
          <w:rFonts w:hint="eastAsia"/>
          <w:sz w:val="22"/>
          <w:highlight w:val="none"/>
        </w:rPr>
        <w:t>具有光学防抖功能，将镜头倍率设置为最大，快门设置为1/25s，在振动台振幅不大于0.3°，振动频率不大于10Hz情况下，设备视场角应无明显变化，视频图像在振动过程中应保持稳定清晰。</w:t>
      </w:r>
    </w:p>
    <w:p>
      <w:pPr>
        <w:pStyle w:val="5"/>
        <w:numPr>
          <w:ilvl w:val="0"/>
          <w:numId w:val="19"/>
        </w:numPr>
        <w:spacing w:line="360" w:lineRule="auto"/>
        <w:ind w:firstLineChars="0"/>
        <w:rPr>
          <w:rFonts w:hint="eastAsia"/>
          <w:sz w:val="22"/>
          <w:highlight w:val="none"/>
        </w:rPr>
      </w:pPr>
      <w:r>
        <w:rPr>
          <w:rFonts w:hint="eastAsia"/>
          <w:sz w:val="22"/>
          <w:highlight w:val="none"/>
        </w:rPr>
        <w:t>网络接口：RJ45网口;自适应10M/100M/1000M网络数据</w:t>
      </w:r>
    </w:p>
    <w:p>
      <w:pPr>
        <w:pStyle w:val="5"/>
        <w:numPr>
          <w:ilvl w:val="0"/>
          <w:numId w:val="19"/>
        </w:numPr>
        <w:spacing w:line="360" w:lineRule="auto"/>
        <w:ind w:firstLineChars="0"/>
        <w:rPr>
          <w:rFonts w:hint="eastAsia"/>
          <w:sz w:val="22"/>
          <w:highlight w:val="none"/>
        </w:rPr>
      </w:pPr>
      <w:r>
        <w:rPr>
          <w:rFonts w:hint="eastAsia"/>
          <w:sz w:val="22"/>
          <w:highlight w:val="none"/>
        </w:rPr>
        <w:t>光纤接口：FC接口;内置光纤模块;波长TX1310/RX1550nm;20km传输距离;单模单纤;1000M网络数据</w:t>
      </w:r>
    </w:p>
    <w:p>
      <w:pPr>
        <w:pStyle w:val="5"/>
        <w:numPr>
          <w:ilvl w:val="0"/>
          <w:numId w:val="19"/>
        </w:numPr>
        <w:spacing w:line="360" w:lineRule="auto"/>
        <w:ind w:firstLineChars="0"/>
        <w:rPr>
          <w:rFonts w:hint="eastAsia"/>
          <w:sz w:val="22"/>
          <w:highlight w:val="none"/>
        </w:rPr>
      </w:pPr>
      <w:r>
        <w:rPr>
          <w:rFonts w:hint="eastAsia"/>
          <w:sz w:val="22"/>
          <w:highlight w:val="none"/>
        </w:rPr>
        <w:t>SD卡扩展：内置Micro SD卡插槽，支持Micro SD/Micro SDHC/Micro SDXC卡（最大支持512GB）</w:t>
      </w:r>
    </w:p>
    <w:p>
      <w:pPr>
        <w:pStyle w:val="5"/>
        <w:numPr>
          <w:ilvl w:val="0"/>
          <w:numId w:val="19"/>
        </w:numPr>
        <w:spacing w:line="360" w:lineRule="auto"/>
        <w:ind w:firstLineChars="0"/>
        <w:rPr>
          <w:rFonts w:hint="eastAsia"/>
          <w:sz w:val="22"/>
          <w:highlight w:val="none"/>
        </w:rPr>
      </w:pPr>
      <w:r>
        <w:rPr>
          <w:rFonts w:hint="eastAsia"/>
          <w:sz w:val="22"/>
          <w:highlight w:val="none"/>
        </w:rPr>
        <w:t>报警：≥7路报警输入，≥2路报警输出；音频：≥1路音频输入，≥1路音频输出</w:t>
      </w:r>
    </w:p>
    <w:p>
      <w:pPr>
        <w:pStyle w:val="5"/>
        <w:numPr>
          <w:ilvl w:val="0"/>
          <w:numId w:val="19"/>
        </w:numPr>
        <w:spacing w:line="360" w:lineRule="auto"/>
        <w:ind w:firstLineChars="0"/>
        <w:rPr>
          <w:rFonts w:hint="eastAsia"/>
          <w:sz w:val="22"/>
          <w:highlight w:val="none"/>
        </w:rPr>
      </w:pPr>
      <w:r>
        <w:rPr>
          <w:rFonts w:hint="eastAsia"/>
          <w:sz w:val="22"/>
          <w:highlight w:val="none"/>
        </w:rPr>
        <w:t>RS485接口：采用半双工模式</w:t>
      </w:r>
    </w:p>
    <w:p>
      <w:pPr>
        <w:pStyle w:val="5"/>
        <w:numPr>
          <w:ilvl w:val="0"/>
          <w:numId w:val="19"/>
        </w:numPr>
        <w:spacing w:line="360" w:lineRule="auto"/>
        <w:ind w:firstLineChars="0"/>
        <w:rPr>
          <w:rFonts w:hint="eastAsia"/>
          <w:sz w:val="22"/>
          <w:highlight w:val="none"/>
        </w:rPr>
      </w:pPr>
      <w:r>
        <w:rPr>
          <w:rFonts w:hint="eastAsia"/>
          <w:sz w:val="22"/>
          <w:highlight w:val="none"/>
        </w:rPr>
        <w:t>供电方式：DC36V；整机平均功耗75w，最大功耗90w</w:t>
      </w:r>
    </w:p>
    <w:p>
      <w:pPr>
        <w:pStyle w:val="5"/>
        <w:numPr>
          <w:ilvl w:val="0"/>
          <w:numId w:val="19"/>
        </w:numPr>
        <w:spacing w:line="360" w:lineRule="auto"/>
        <w:ind w:firstLineChars="0"/>
        <w:rPr>
          <w:rFonts w:hint="eastAsia"/>
          <w:sz w:val="22"/>
          <w:highlight w:val="none"/>
        </w:rPr>
      </w:pPr>
      <w:r>
        <w:rPr>
          <w:rFonts w:hint="eastAsia"/>
          <w:sz w:val="22"/>
          <w:highlight w:val="none"/>
        </w:rPr>
        <w:t>除雾：支持</w:t>
      </w:r>
    </w:p>
    <w:p>
      <w:pPr>
        <w:pStyle w:val="5"/>
        <w:numPr>
          <w:ilvl w:val="0"/>
          <w:numId w:val="19"/>
        </w:numPr>
        <w:spacing w:line="360" w:lineRule="auto"/>
        <w:ind w:firstLineChars="0"/>
        <w:rPr>
          <w:highlight w:val="none"/>
        </w:rPr>
      </w:pPr>
      <w:r>
        <w:rPr>
          <w:rFonts w:hint="eastAsia"/>
          <w:sz w:val="22"/>
          <w:highlight w:val="none"/>
        </w:rPr>
        <w:t>防护：IP67; 6000V 防雷、防浪涌、防突波，符合GB/T17626.2/3/4/5/6四级标准</w:t>
      </w:r>
    </w:p>
    <w:p>
      <w:pPr>
        <w:pStyle w:val="2"/>
        <w:numPr>
          <w:ilvl w:val="0"/>
          <w:numId w:val="0"/>
        </w:numPr>
        <w:rPr>
          <w:b/>
          <w:bCs/>
          <w:highlight w:val="none"/>
        </w:rPr>
      </w:pPr>
      <w:bookmarkStart w:id="144" w:name="_Toc9970"/>
      <w:r>
        <w:rPr>
          <w:rFonts w:hint="eastAsia"/>
          <w:highlight w:val="none"/>
          <w:lang w:val="en-US"/>
        </w:rPr>
        <w:t>7.</w:t>
      </w:r>
      <w:r>
        <w:rPr>
          <w:rFonts w:hint="eastAsia"/>
          <w:highlight w:val="none"/>
          <w:lang w:val="en-US" w:eastAsia="zh-CN"/>
        </w:rPr>
        <w:t>4</w:t>
      </w:r>
      <w:r>
        <w:rPr>
          <w:highlight w:val="none"/>
        </w:rPr>
        <w:t xml:space="preserve"> </w:t>
      </w:r>
      <w:r>
        <w:rPr>
          <w:rFonts w:hint="eastAsia"/>
          <w:highlight w:val="none"/>
          <w:lang w:val="en-US"/>
        </w:rPr>
        <w:t>主干道测速</w:t>
      </w:r>
      <w:r>
        <w:rPr>
          <w:rFonts w:hint="eastAsia"/>
          <w:highlight w:val="none"/>
        </w:rPr>
        <w:t>系统</w:t>
      </w:r>
      <w:bookmarkEnd w:id="144"/>
    </w:p>
    <w:p>
      <w:pPr>
        <w:keepNext w:val="0"/>
        <w:keepLines w:val="0"/>
        <w:pageBreakBefore w:val="0"/>
        <w:widowControl w:val="0"/>
        <w:kinsoku/>
        <w:wordWrap/>
        <w:overflowPunct/>
        <w:topLinePunct w:val="0"/>
        <w:autoSpaceDE/>
        <w:autoSpaceDN/>
        <w:bidi w:val="0"/>
        <w:adjustRightInd/>
        <w:snapToGrid/>
        <w:ind w:firstLine="0" w:firstLineChars="0"/>
        <w:textAlignment w:val="auto"/>
        <w:rPr>
          <w:b/>
          <w:bCs/>
        </w:rPr>
      </w:pPr>
      <w:r>
        <w:rPr>
          <w:rFonts w:hint="eastAsia"/>
          <w:b/>
          <w:bCs/>
        </w:rPr>
        <w:t>7.</w:t>
      </w:r>
      <w:r>
        <w:rPr>
          <w:rFonts w:hint="eastAsia"/>
          <w:b/>
          <w:bCs/>
          <w:lang w:val="en-US" w:eastAsia="zh-CN"/>
        </w:rPr>
        <w:t>4</w:t>
      </w:r>
      <w:r>
        <w:rPr>
          <w:rFonts w:hint="eastAsia"/>
          <w:b/>
          <w:bCs/>
        </w:rPr>
        <w:t>.1、系统概述</w:t>
      </w:r>
    </w:p>
    <w:p>
      <w:pPr>
        <w:rPr>
          <w:highlight w:val="none"/>
        </w:rPr>
      </w:pPr>
      <w:r>
        <w:rPr>
          <w:highlight w:val="none"/>
        </w:rPr>
        <w:t>考虑到测速路段物料运输的需要，本项目中测速设备考虑采用侧装的方式安装，即测速设备布置在道路的一侧，并且要求便于移动，确保不影响物料的运输。</w:t>
      </w:r>
    </w:p>
    <w:p>
      <w:pPr>
        <w:rPr>
          <w:highlight w:val="none"/>
        </w:rPr>
      </w:pPr>
      <w:r>
        <w:rPr>
          <w:highlight w:val="none"/>
        </w:rPr>
        <w:t>超速警示适用于园区道路限速路段。当车辆以正常速度经过测速点位时， 信息发布屏显示默认提示信息，当车辆超速驶入时，信息发布屏进行超速实时提醒。系统实时获取雷达感知信息，并在信息屏上进行警示，有助于让司机及时了解自身的不安全驾驶行为并纠正，做到人文关怀和安全提醒相结合。</w:t>
      </w:r>
    </w:p>
    <w:p>
      <w:pPr>
        <w:rPr>
          <w:highlight w:val="none"/>
        </w:rPr>
      </w:pPr>
      <w:r>
        <w:rPr>
          <w:highlight w:val="none"/>
        </w:rPr>
        <w:t>系统通过雷视一体机自定义测速点位检测过车速度，若未超速则发布提示信息，若超速则发布超速警示信息，对超速车辆进行警示。</w:t>
      </w:r>
    </w:p>
    <w:p>
      <w:pPr>
        <w:rPr>
          <w:highlight w:val="none"/>
        </w:rPr>
      </w:pPr>
      <w:r>
        <w:rPr>
          <w:highlight w:val="none"/>
        </w:rPr>
        <w:t>通过路口终端设备，可实现对多个测速点位超速信息的统一发布上屏。可进行自定义发布字段、循环条目、维持时间等配置操作。</w:t>
      </w:r>
    </w:p>
    <w:p>
      <w:pPr>
        <w:keepNext w:val="0"/>
        <w:keepLines w:val="0"/>
        <w:pageBreakBefore w:val="0"/>
        <w:widowControl w:val="0"/>
        <w:kinsoku/>
        <w:wordWrap/>
        <w:overflowPunct/>
        <w:topLinePunct w:val="0"/>
        <w:autoSpaceDE/>
        <w:autoSpaceDN/>
        <w:bidi w:val="0"/>
        <w:adjustRightInd/>
        <w:snapToGrid/>
        <w:ind w:firstLine="0" w:firstLineChars="0"/>
        <w:textAlignment w:val="auto"/>
        <w:rPr>
          <w:b/>
          <w:bCs/>
        </w:rPr>
      </w:pPr>
      <w:r>
        <w:rPr>
          <w:rFonts w:hint="eastAsia"/>
          <w:b/>
          <w:bCs/>
        </w:rPr>
        <w:t>7.</w:t>
      </w:r>
      <w:r>
        <w:rPr>
          <w:rFonts w:hint="eastAsia"/>
          <w:b/>
          <w:bCs/>
          <w:lang w:val="en-US" w:eastAsia="zh-CN"/>
        </w:rPr>
        <w:t>4</w:t>
      </w:r>
      <w:r>
        <w:rPr>
          <w:rFonts w:hint="eastAsia"/>
          <w:b/>
          <w:bCs/>
        </w:rPr>
        <w:t>.2、硬件参数</w:t>
      </w:r>
    </w:p>
    <w:p>
      <w:pPr>
        <w:pStyle w:val="5"/>
        <w:numPr>
          <w:ilvl w:val="0"/>
          <w:numId w:val="20"/>
        </w:numPr>
        <w:spacing w:line="360" w:lineRule="auto"/>
        <w:ind w:left="425" w:leftChars="0" w:hanging="425" w:firstLineChars="0"/>
        <w:rPr>
          <w:b/>
          <w:sz w:val="24"/>
          <w:highlight w:val="none"/>
        </w:rPr>
      </w:pPr>
      <w:r>
        <w:rPr>
          <w:rFonts w:hint="eastAsia"/>
          <w:b/>
          <w:sz w:val="24"/>
          <w:highlight w:val="none"/>
        </w:rPr>
        <w:t>测速一体机</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高精度毫米波雷达与800W低照度深度学习智能相机从结构、场景、采集方式到数据信息等多方面深层次融合应用。</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支持机动车测速，卡口图片抓拍。</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支持联动屏幕，实时显示车牌号、车速值。</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测速距离最大100米，车牌识别距离最大22米。</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支持检测的机动车车道数量≥12个</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支持区分距离≤0.5m的相邻交通目标支持宽动态，并具有多种白平衡模式，适合各种场景需求。</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支持基于视频的车牌、车辆特征识别，包括：车型、车辆主品牌、子品牌、车身颜色。</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空间分辨率高，穿透力强，不受光照、可见度、恶劣气候等自然条件的影响，数据检测更精准。</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 xml:space="preserve">传感器类型：1/1.8"CMOS </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测速范围：-250km/h~250km/h</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 xml:space="preserve">扫频带宽：136.5MHz  </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 xml:space="preserve">调制波形：FMCW </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 xml:space="preserve">水平角：-15°~ +15°  </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俯仰角：-15°~ +15°</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 xml:space="preserve">作用距离：20m ~100m   </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 xml:space="preserve">串口：1个RS-485接口 </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 xml:space="preserve">图片格式：JPEG </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智能识别：卡口抓拍、车牌识别、车型识别、车身颜色识别、</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 xml:space="preserve">车辆特征检测 </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网络接口：2个RJ45 100M /1000M自适应以太网口</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 xml:space="preserve">报警输出：1路继电器开关 </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最小照度：彩色2.694mLux@(F1.6，AGC ON)</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黑白0.03mLux@(F1.6，AGC ON)</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快门：1/25秒至1/100,000秒</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视频压缩标准：H.264;H.265</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压缩输出码率：32 Kbps~16 Mbps</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帧率：25fps</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图像设置：饱和度，亮度，对比度，白平衡，增益通过软件可调</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存储功能：TF</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尺寸：226mm（W）x375.3mm（H）x206.4mm（D）</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工作温度：-30°C~70°C</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工作湿度：5%~95%@40°C，无凝结</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电源：DC36V±10%</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功耗：11W MAX</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重量：3±0.5kg</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防护等级：IP67</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焦距：16mm</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分辨率：3840×2160</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白平衡：自动/手动多种白平衡模式</w:t>
      </w:r>
    </w:p>
    <w:p>
      <w:pPr>
        <w:pStyle w:val="6"/>
        <w:keepNext w:val="0"/>
        <w:keepLines w:val="0"/>
        <w:pageBreakBefore w:val="0"/>
        <w:widowControl/>
        <w:numPr>
          <w:ilvl w:val="0"/>
          <w:numId w:val="21"/>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 xml:space="preserve">数字降噪：3D数字降噪 </w:t>
      </w:r>
    </w:p>
    <w:p>
      <w:pPr>
        <w:pStyle w:val="5"/>
        <w:numPr>
          <w:ilvl w:val="0"/>
          <w:numId w:val="20"/>
        </w:numPr>
        <w:spacing w:line="360" w:lineRule="auto"/>
        <w:ind w:left="425" w:leftChars="0" w:hanging="425" w:firstLineChars="0"/>
        <w:rPr>
          <w:rFonts w:hint="eastAsia"/>
          <w:b/>
          <w:sz w:val="24"/>
          <w:highlight w:val="none"/>
        </w:rPr>
      </w:pPr>
      <w:r>
        <w:rPr>
          <w:rFonts w:hint="eastAsia"/>
          <w:b/>
          <w:sz w:val="24"/>
          <w:highlight w:val="none"/>
        </w:rPr>
        <w:t>测速终端设备</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支持16路H.265、H.264编码混合自适应接入；</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支持SDK、RTSP、ONVIF和GB28181添加相机通道；</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支持图片存储展示，包括车辆卡口、违法、目标、人体以及其他事件结构化图片数据;</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支持视频预览、录像和回放，可配置录像计划，录像和图片存储空间可配置；</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支持本地浏览器查询数据，可设置多种筛选条件；查询结果可关联对应事件短录像；</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支持新国标电警应用，有反向卡口需要图片六合一时，最大支持8个电警相机六合一；支持区间测速、区间限停和区间变道功能；</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支持多个相机抓拍数据匹配合成，三种匹配策略可选；支持多种字符叠加、图片合成模式；</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支持车牌黑白名单布防比对，黑白名单是否上传平台可配；</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 xml:space="preserve">支持双网隔离应用，可向两个隔离网络分别上传图片和视频数据； </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配置路段名称、路段编号、路段距离，能够对驶入驶出该路段的车辆抓拍数据匹配并计算车辆的区间速度值；支持设置过滤阈值，对异常测速结果进行过滤；支持超速检测和欠速检测，可分别设定高限速和低限速值；</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支持将原始图片、特写图片、合成图片、车牌抠图、关联录像、主驾驶人脸图片、副驾驶人脸图片、行人人脸图片、非机动车人脸图片上传至FTP服务器。</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网络接口：2个10/100/1000M自适应以太网接口，双网卡，物理隔离；具备16个1000M以太网接口；具备2个光口（SFP）；</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硬盘接口：4个SATA接口，音频接口：1个音频输入接口、1个音频输出接口；</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IO报警接口：2路报警输入接口、2路报警输出接口；</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rFonts w:hint="eastAsia"/>
          <w:sz w:val="22"/>
          <w:szCs w:val="28"/>
          <w:highlight w:val="none"/>
        </w:rPr>
      </w:pPr>
      <w:r>
        <w:rPr>
          <w:rFonts w:hint="eastAsia"/>
          <w:sz w:val="22"/>
          <w:szCs w:val="28"/>
          <w:highlight w:val="none"/>
        </w:rPr>
        <w:t>指示灯：电源/报警/硬盘/就绪，共4个状态指示灯；</w:t>
      </w:r>
    </w:p>
    <w:p>
      <w:pPr>
        <w:pStyle w:val="6"/>
        <w:keepNext w:val="0"/>
        <w:keepLines w:val="0"/>
        <w:pageBreakBefore w:val="0"/>
        <w:widowControl/>
        <w:numPr>
          <w:ilvl w:val="0"/>
          <w:numId w:val="22"/>
        </w:numPr>
        <w:kinsoku/>
        <w:wordWrap/>
        <w:overflowPunct w:val="0"/>
        <w:topLinePunct w:val="0"/>
        <w:autoSpaceDE w:val="0"/>
        <w:autoSpaceDN w:val="0"/>
        <w:bidi w:val="0"/>
        <w:adjustRightInd/>
        <w:snapToGrid/>
        <w:ind w:left="839" w:leftChars="0" w:hanging="420" w:firstLineChars="0"/>
        <w:textAlignment w:val="auto"/>
        <w:rPr>
          <w:highlight w:val="none"/>
        </w:rPr>
      </w:pPr>
      <w:r>
        <w:rPr>
          <w:rFonts w:hint="eastAsia"/>
          <w:sz w:val="22"/>
          <w:szCs w:val="28"/>
          <w:highlight w:val="none"/>
        </w:rPr>
        <w:t>其他接口：2个RS-232接口、2个RS-485接口、1个USB3.0接口</w:t>
      </w:r>
      <w:r>
        <w:rPr>
          <w:rFonts w:hint="eastAsia"/>
          <w:sz w:val="22"/>
          <w:szCs w:val="28"/>
          <w:highlight w:val="none"/>
          <w:lang w:eastAsia="zh-CN"/>
        </w:rPr>
        <w:t>。</w:t>
      </w:r>
    </w:p>
    <w:bookmarkEnd w:id="134"/>
    <w:p>
      <w:pPr>
        <w:pStyle w:val="3"/>
        <w:numPr>
          <w:ilvl w:val="0"/>
          <w:numId w:val="0"/>
        </w:numPr>
        <w:spacing w:before="156" w:after="156"/>
        <w:rPr>
          <w:rFonts w:hint="default"/>
          <w:highlight w:val="none"/>
          <w:lang w:val="en-US" w:eastAsia="zh-CN"/>
        </w:rPr>
      </w:pPr>
      <w:bookmarkStart w:id="145" w:name="_Toc1906"/>
      <w:bookmarkStart w:id="146" w:name="_Toc19476"/>
      <w:bookmarkStart w:id="147" w:name="_Toc1718"/>
      <w:bookmarkStart w:id="148" w:name="_Toc134823126"/>
      <w:bookmarkStart w:id="149" w:name="_Toc25625"/>
      <w:bookmarkStart w:id="150" w:name="_Toc19855"/>
      <w:r>
        <w:rPr>
          <w:rFonts w:hint="eastAsia"/>
          <w:highlight w:val="none"/>
          <w:lang w:val="en-US" w:eastAsia="zh-CN"/>
        </w:rPr>
        <w:t>8.实施要求</w:t>
      </w:r>
      <w:bookmarkEnd w:id="145"/>
    </w:p>
    <w:p>
      <w:pPr>
        <w:pStyle w:val="2"/>
        <w:numPr>
          <w:ilvl w:val="1"/>
          <w:numId w:val="0"/>
        </w:numPr>
        <w:bidi w:val="0"/>
        <w:ind w:leftChars="0"/>
        <w:rPr>
          <w:rFonts w:hint="eastAsia"/>
          <w:highlight w:val="none"/>
          <w:lang w:val="en-US"/>
        </w:rPr>
      </w:pPr>
      <w:bookmarkStart w:id="151" w:name="_Toc22565"/>
      <w:r>
        <w:rPr>
          <w:rFonts w:hint="eastAsia"/>
          <w:highlight w:val="none"/>
          <w:lang w:val="en-US" w:eastAsia="zh-CN"/>
        </w:rPr>
        <w:t>8.1</w:t>
      </w:r>
      <w:r>
        <w:rPr>
          <w:rFonts w:hint="eastAsia"/>
          <w:highlight w:val="none"/>
          <w:lang w:val="en-US"/>
        </w:rPr>
        <w:t>进度</w:t>
      </w:r>
      <w:bookmarkEnd w:id="146"/>
      <w:bookmarkEnd w:id="147"/>
      <w:bookmarkEnd w:id="148"/>
      <w:bookmarkEnd w:id="149"/>
      <w:bookmarkEnd w:id="150"/>
      <w:r>
        <w:rPr>
          <w:rFonts w:hint="eastAsia"/>
          <w:highlight w:val="none"/>
          <w:lang w:val="en-US" w:eastAsia="zh-CN"/>
        </w:rPr>
        <w:t>要求</w:t>
      </w:r>
      <w:bookmarkEnd w:id="151"/>
    </w:p>
    <w:p>
      <w:pPr>
        <w:pStyle w:val="4"/>
        <w:numPr>
          <w:ilvl w:val="2"/>
          <w:numId w:val="0"/>
        </w:numPr>
        <w:bidi w:val="0"/>
        <w:ind w:leftChars="0"/>
        <w:rPr>
          <w:rFonts w:hint="default"/>
          <w:highlight w:val="none"/>
          <w:lang w:val="en-US" w:eastAsia="zh-CN"/>
        </w:rPr>
      </w:pPr>
      <w:bookmarkStart w:id="152" w:name="_Toc10344"/>
      <w:bookmarkStart w:id="153" w:name="_Toc21525"/>
      <w:r>
        <w:rPr>
          <w:rFonts w:hint="eastAsia"/>
          <w:highlight w:val="none"/>
          <w:lang w:val="en-US" w:eastAsia="zh-CN"/>
        </w:rPr>
        <w:t>8.1.1一般要求</w:t>
      </w:r>
      <w:bookmarkEnd w:id="152"/>
      <w:bookmarkEnd w:id="153"/>
    </w:p>
    <w:p>
      <w:pPr>
        <w:pStyle w:val="28"/>
        <w:ind w:left="0" w:leftChars="0" w:firstLine="0" w:firstLineChars="0"/>
        <w:rPr>
          <w:rFonts w:ascii="Times New Roman" w:hAnsi="Times New Roman" w:eastAsia="宋体" w:cs="仿宋_GB2312"/>
          <w:sz w:val="24"/>
          <w:szCs w:val="32"/>
          <w:highlight w:val="none"/>
        </w:rPr>
      </w:pPr>
      <w:r>
        <w:rPr>
          <w:rFonts w:hint="eastAsia" w:cs="仿宋_GB2312"/>
          <w:sz w:val="24"/>
          <w:szCs w:val="32"/>
          <w:highlight w:val="none"/>
          <w:lang w:eastAsia="zh-CN"/>
        </w:rPr>
        <w:t>（</w:t>
      </w:r>
      <w:r>
        <w:rPr>
          <w:rFonts w:hint="eastAsia" w:cs="仿宋_GB2312"/>
          <w:sz w:val="24"/>
          <w:szCs w:val="32"/>
          <w:highlight w:val="none"/>
          <w:lang w:val="en-US" w:eastAsia="zh-CN"/>
        </w:rPr>
        <w:t>1</w:t>
      </w:r>
      <w:r>
        <w:rPr>
          <w:rFonts w:hint="eastAsia" w:cs="仿宋_GB2312"/>
          <w:sz w:val="24"/>
          <w:szCs w:val="32"/>
          <w:highlight w:val="none"/>
          <w:lang w:eastAsia="zh-CN"/>
        </w:rPr>
        <w:t>）</w:t>
      </w:r>
      <w:r>
        <w:rPr>
          <w:rFonts w:hint="eastAsia" w:ascii="Times New Roman" w:hAnsi="Times New Roman" w:eastAsia="宋体" w:cs="仿宋_GB2312"/>
          <w:sz w:val="24"/>
          <w:szCs w:val="32"/>
          <w:highlight w:val="none"/>
        </w:rPr>
        <w:t>投标方</w:t>
      </w:r>
      <w:r>
        <w:rPr>
          <w:rFonts w:ascii="Times New Roman" w:hAnsi="Times New Roman" w:eastAsia="宋体" w:cs="仿宋_GB2312"/>
          <w:sz w:val="24"/>
          <w:szCs w:val="32"/>
          <w:highlight w:val="none"/>
        </w:rPr>
        <w:t>原则上应按照以下项目进度计划组织本项目实施：</w:t>
      </w:r>
    </w:p>
    <w:p>
      <w:pPr>
        <w:pStyle w:val="28"/>
        <w:numPr>
          <w:ilvl w:val="0"/>
          <w:numId w:val="23"/>
        </w:numPr>
        <w:ind w:left="0" w:leftChars="0" w:firstLine="480" w:firstLineChars="200"/>
        <w:rPr>
          <w:rStyle w:val="26"/>
          <w:rFonts w:hint="eastAsia" w:ascii="Times New Roman" w:hAnsi="Times New Roman" w:eastAsia="宋体" w:cs="仿宋_GB2312"/>
          <w:sz w:val="24"/>
          <w:szCs w:val="32"/>
          <w:highlight w:val="none"/>
          <w:lang w:val="fr-FR"/>
        </w:rPr>
      </w:pPr>
      <w:r>
        <w:rPr>
          <w:rStyle w:val="26"/>
          <w:rFonts w:hint="eastAsia" w:ascii="Times New Roman" w:hAnsi="Times New Roman" w:eastAsia="宋体" w:cs="仿宋_GB2312"/>
          <w:sz w:val="24"/>
          <w:szCs w:val="32"/>
          <w:highlight w:val="none"/>
          <w:lang w:val="fr-FR"/>
        </w:rPr>
        <w:t>投标方须在合同签署后3日内向招标方提交项目建设方案和项目建设进度计划；</w:t>
      </w:r>
    </w:p>
    <w:p>
      <w:pPr>
        <w:pStyle w:val="28"/>
        <w:numPr>
          <w:ilvl w:val="0"/>
          <w:numId w:val="23"/>
        </w:numPr>
        <w:ind w:left="0" w:leftChars="0" w:firstLine="480" w:firstLineChars="200"/>
        <w:rPr>
          <w:rStyle w:val="26"/>
          <w:rFonts w:hint="eastAsia" w:ascii="Times New Roman" w:hAnsi="Times New Roman" w:eastAsia="宋体" w:cs="仿宋_GB2312"/>
          <w:sz w:val="24"/>
          <w:szCs w:val="32"/>
          <w:highlight w:val="none"/>
          <w:lang w:val="fr-FR" w:eastAsia="zh-CN"/>
        </w:rPr>
      </w:pPr>
      <w:r>
        <w:rPr>
          <w:rStyle w:val="26"/>
          <w:rFonts w:hint="eastAsia" w:ascii="Times New Roman" w:hAnsi="Times New Roman" w:eastAsia="宋体" w:cs="仿宋_GB2312"/>
          <w:sz w:val="24"/>
          <w:szCs w:val="32"/>
          <w:highlight w:val="none"/>
          <w:lang w:val="fr-FR"/>
        </w:rPr>
        <w:t>投标方包含现场施工，施工期间全部系统设备安装调试完成，包含智慧工地设备的正常拆装要求；如防台防汛（不可抗力）中的门禁管理设备的拆除保护等；需建设独立的施工人员休息及设备仓库，配备通勤及应急车辆，劳保用品、应急物资、住宿及食宿自理</w:t>
      </w:r>
      <w:r>
        <w:rPr>
          <w:rStyle w:val="26"/>
          <w:rFonts w:hint="eastAsia" w:ascii="Times New Roman" w:hAnsi="Times New Roman" w:eastAsia="宋体" w:cs="仿宋_GB2312"/>
          <w:sz w:val="24"/>
          <w:szCs w:val="32"/>
          <w:highlight w:val="none"/>
          <w:lang w:val="fr-FR" w:eastAsia="zh-CN"/>
        </w:rPr>
        <w:t>；</w:t>
      </w:r>
    </w:p>
    <w:p>
      <w:pPr>
        <w:pStyle w:val="28"/>
        <w:numPr>
          <w:ilvl w:val="0"/>
          <w:numId w:val="23"/>
        </w:numPr>
        <w:ind w:left="0" w:leftChars="0" w:firstLine="480" w:firstLineChars="200"/>
        <w:rPr>
          <w:rStyle w:val="26"/>
          <w:rFonts w:hint="eastAsia" w:ascii="Times New Roman" w:hAnsi="Times New Roman" w:eastAsia="宋体" w:cs="仿宋_GB2312"/>
          <w:sz w:val="24"/>
          <w:szCs w:val="32"/>
          <w:highlight w:val="none"/>
          <w:lang w:val="fr-FR" w:eastAsia="zh-CN"/>
        </w:rPr>
      </w:pPr>
      <w:r>
        <w:rPr>
          <w:rStyle w:val="26"/>
          <w:rFonts w:hint="eastAsia" w:ascii="Times New Roman" w:hAnsi="Times New Roman" w:eastAsia="宋体" w:cs="仿宋_GB2312"/>
          <w:sz w:val="24"/>
          <w:szCs w:val="32"/>
          <w:highlight w:val="none"/>
          <w:lang w:val="fr-FR"/>
        </w:rPr>
        <w:t>投标方须派人驻场</w:t>
      </w:r>
      <w:r>
        <w:rPr>
          <w:rStyle w:val="26"/>
          <w:rFonts w:hint="eastAsia" w:cs="仿宋_GB2312"/>
          <w:sz w:val="24"/>
          <w:szCs w:val="32"/>
          <w:highlight w:val="none"/>
          <w:lang w:val="en-US" w:eastAsia="zh-CN"/>
        </w:rPr>
        <w:t>运维</w:t>
      </w:r>
      <w:r>
        <w:rPr>
          <w:rStyle w:val="26"/>
          <w:rFonts w:hint="eastAsia" w:ascii="Times New Roman" w:hAnsi="Times New Roman" w:eastAsia="宋体" w:cs="仿宋_GB2312"/>
          <w:sz w:val="24"/>
          <w:szCs w:val="32"/>
          <w:highlight w:val="none"/>
          <w:lang w:val="fr-FR"/>
        </w:rPr>
        <w:t>，不少于</w:t>
      </w:r>
      <w:r>
        <w:rPr>
          <w:rStyle w:val="26"/>
          <w:rFonts w:hint="eastAsia" w:cs="仿宋_GB2312"/>
          <w:sz w:val="24"/>
          <w:szCs w:val="32"/>
          <w:highlight w:val="none"/>
          <w:lang w:val="en-US" w:eastAsia="zh-CN"/>
        </w:rPr>
        <w:t>1</w:t>
      </w:r>
      <w:r>
        <w:rPr>
          <w:rStyle w:val="26"/>
          <w:rFonts w:hint="eastAsia" w:ascii="Times New Roman" w:hAnsi="Times New Roman" w:eastAsia="宋体" w:cs="仿宋_GB2312"/>
          <w:sz w:val="24"/>
          <w:szCs w:val="32"/>
          <w:highlight w:val="none"/>
          <w:lang w:val="fr-FR"/>
        </w:rPr>
        <w:t>人驻场</w:t>
      </w:r>
      <w:r>
        <w:rPr>
          <w:rStyle w:val="26"/>
          <w:rFonts w:hint="eastAsia" w:cs="仿宋_GB2312"/>
          <w:sz w:val="24"/>
          <w:szCs w:val="32"/>
          <w:highlight w:val="none"/>
          <w:lang w:val="en-US" w:eastAsia="zh-CN"/>
        </w:rPr>
        <w:t>12个月</w:t>
      </w:r>
      <w:r>
        <w:rPr>
          <w:rStyle w:val="26"/>
          <w:rFonts w:hint="eastAsia" w:ascii="Times New Roman" w:hAnsi="Times New Roman" w:eastAsia="宋体" w:cs="仿宋_GB2312"/>
          <w:sz w:val="24"/>
          <w:szCs w:val="32"/>
          <w:highlight w:val="none"/>
          <w:lang w:val="fr-FR"/>
        </w:rPr>
        <w:t>，保障系统稳定运行</w:t>
      </w:r>
      <w:r>
        <w:rPr>
          <w:rStyle w:val="26"/>
          <w:rFonts w:hint="eastAsia" w:ascii="Times New Roman" w:hAnsi="Times New Roman" w:eastAsia="宋体" w:cs="仿宋_GB2312"/>
          <w:sz w:val="24"/>
          <w:szCs w:val="32"/>
          <w:highlight w:val="none"/>
          <w:lang w:val="fr-FR" w:eastAsia="zh-CN"/>
        </w:rPr>
        <w:t>；</w:t>
      </w:r>
    </w:p>
    <w:p>
      <w:pPr>
        <w:pStyle w:val="28"/>
        <w:numPr>
          <w:ilvl w:val="0"/>
          <w:numId w:val="23"/>
        </w:numPr>
        <w:ind w:left="0" w:leftChars="0" w:firstLine="480" w:firstLineChars="200"/>
        <w:rPr>
          <w:rFonts w:ascii="Times New Roman" w:hAnsi="Times New Roman" w:eastAsia="宋体" w:cs="仿宋_GB2312"/>
          <w:sz w:val="24"/>
          <w:szCs w:val="32"/>
          <w:highlight w:val="none"/>
        </w:rPr>
      </w:pPr>
      <w:r>
        <w:rPr>
          <w:rStyle w:val="26"/>
          <w:rFonts w:hint="eastAsia" w:ascii="Times New Roman" w:hAnsi="Times New Roman" w:eastAsia="宋体" w:cs="仿宋_GB2312"/>
          <w:sz w:val="24"/>
          <w:szCs w:val="32"/>
          <w:highlight w:val="none"/>
          <w:lang w:val="fr-FR"/>
        </w:rPr>
        <w:t>投标方须保障现场设备运行的完整性，项目竣工前，</w:t>
      </w:r>
      <w:r>
        <w:rPr>
          <w:rStyle w:val="26"/>
          <w:rFonts w:hint="eastAsia" w:cs="仿宋_GB2312"/>
          <w:sz w:val="24"/>
          <w:szCs w:val="32"/>
          <w:highlight w:val="none"/>
          <w:lang w:val="en-US" w:eastAsia="zh-CN"/>
        </w:rPr>
        <w:t>1</w:t>
      </w:r>
      <w:r>
        <w:rPr>
          <w:rStyle w:val="26"/>
          <w:rFonts w:hint="eastAsia" w:ascii="Times New Roman" w:hAnsi="Times New Roman" w:eastAsia="宋体" w:cs="仿宋_GB2312"/>
          <w:sz w:val="24"/>
          <w:szCs w:val="32"/>
          <w:highlight w:val="none"/>
          <w:lang w:val="fr-FR"/>
        </w:rPr>
        <w:t>年内的全部设备维修及更换</w:t>
      </w:r>
      <w:r>
        <w:rPr>
          <w:rFonts w:hint="eastAsia" w:ascii="Times New Roman" w:hAnsi="Times New Roman" w:eastAsia="宋体" w:cs="仿宋_GB2312"/>
          <w:sz w:val="24"/>
          <w:szCs w:val="32"/>
          <w:highlight w:val="none"/>
        </w:rPr>
        <w:t>（非他人导致）；系统故障调试及配合项目管理或第三方系统的联调工作等。运维期安排</w:t>
      </w:r>
      <w:r>
        <w:rPr>
          <w:rFonts w:hint="eastAsia" w:cs="仿宋_GB2312"/>
          <w:sz w:val="24"/>
          <w:szCs w:val="32"/>
          <w:highlight w:val="none"/>
          <w:lang w:val="en-US" w:eastAsia="zh-CN"/>
        </w:rPr>
        <w:t>1</w:t>
      </w:r>
      <w:r>
        <w:rPr>
          <w:rFonts w:hint="eastAsia" w:ascii="Times New Roman" w:hAnsi="Times New Roman" w:eastAsia="宋体" w:cs="仿宋_GB2312"/>
          <w:sz w:val="24"/>
          <w:szCs w:val="32"/>
          <w:highlight w:val="none"/>
        </w:rPr>
        <w:t>人在现场场，并由</w:t>
      </w:r>
      <w:r>
        <w:rPr>
          <w:rFonts w:hint="eastAsia" w:cs="仿宋_GB2312"/>
          <w:sz w:val="24"/>
          <w:szCs w:val="32"/>
          <w:highlight w:val="none"/>
          <w:lang w:eastAsia="zh-CN"/>
        </w:rPr>
        <w:t>建设单位</w:t>
      </w:r>
      <w:r>
        <w:rPr>
          <w:rFonts w:hint="eastAsia" w:ascii="Times New Roman" w:hAnsi="Times New Roman" w:eastAsia="宋体" w:cs="仿宋_GB2312"/>
          <w:sz w:val="24"/>
          <w:szCs w:val="32"/>
          <w:highlight w:val="none"/>
        </w:rPr>
        <w:t>进行考勤，无故缺勤者按</w:t>
      </w:r>
      <w:r>
        <w:rPr>
          <w:rFonts w:ascii="Times New Roman" w:hAnsi="Times New Roman" w:eastAsia="宋体" w:cs="仿宋_GB2312"/>
          <w:sz w:val="24"/>
          <w:szCs w:val="32"/>
          <w:highlight w:val="none"/>
        </w:rPr>
        <w:t>3000</w:t>
      </w:r>
      <w:r>
        <w:rPr>
          <w:rFonts w:hint="eastAsia" w:ascii="Times New Roman" w:hAnsi="Times New Roman" w:eastAsia="宋体" w:cs="仿宋_GB2312"/>
          <w:sz w:val="24"/>
          <w:szCs w:val="32"/>
          <w:highlight w:val="none"/>
        </w:rPr>
        <w:t>元</w:t>
      </w:r>
      <w:r>
        <w:rPr>
          <w:rFonts w:ascii="Times New Roman" w:hAnsi="Times New Roman" w:eastAsia="宋体" w:cs="仿宋_GB2312"/>
          <w:sz w:val="24"/>
          <w:szCs w:val="32"/>
          <w:highlight w:val="none"/>
        </w:rPr>
        <w:t>/</w:t>
      </w:r>
      <w:r>
        <w:rPr>
          <w:rFonts w:hint="eastAsia" w:ascii="Times New Roman" w:hAnsi="Times New Roman" w:eastAsia="宋体" w:cs="仿宋_GB2312"/>
          <w:sz w:val="24"/>
          <w:szCs w:val="32"/>
          <w:highlight w:val="none"/>
        </w:rPr>
        <w:t>天进行罚款。</w:t>
      </w:r>
    </w:p>
    <w:p>
      <w:pPr>
        <w:pStyle w:val="4"/>
        <w:numPr>
          <w:ilvl w:val="2"/>
          <w:numId w:val="0"/>
        </w:numPr>
        <w:bidi w:val="0"/>
        <w:ind w:leftChars="0"/>
        <w:rPr>
          <w:rFonts w:hint="eastAsia"/>
          <w:highlight w:val="none"/>
          <w:lang w:val="en-US" w:eastAsia="zh-CN"/>
        </w:rPr>
      </w:pPr>
      <w:bookmarkStart w:id="154" w:name="_Toc26045"/>
      <w:bookmarkStart w:id="155" w:name="_Toc2260"/>
      <w:r>
        <w:rPr>
          <w:rFonts w:hint="eastAsia"/>
          <w:highlight w:val="none"/>
          <w:lang w:val="en-US" w:eastAsia="zh-CN"/>
        </w:rPr>
        <w:t>8.1.2进度计划</w:t>
      </w:r>
      <w:bookmarkEnd w:id="154"/>
      <w:bookmarkEnd w:id="155"/>
    </w:p>
    <w:p>
      <w:pPr>
        <w:pStyle w:val="28"/>
        <w:rPr>
          <w:rFonts w:hint="eastAsia" w:ascii="Times New Roman" w:hAnsi="Times New Roman" w:eastAsia="宋体" w:cs="仿宋_GB2312"/>
          <w:sz w:val="24"/>
          <w:szCs w:val="32"/>
          <w:highlight w:val="none"/>
        </w:rPr>
      </w:pPr>
      <w:r>
        <w:rPr>
          <w:rFonts w:hint="eastAsia" w:ascii="Times New Roman" w:hAnsi="Times New Roman" w:eastAsia="宋体" w:cs="仿宋_GB2312"/>
          <w:sz w:val="24"/>
          <w:szCs w:val="32"/>
          <w:highlight w:val="none"/>
        </w:rPr>
        <w:t>项目建设进度计划是以建设合同签订完成为基础，根据现场实际情况进行实施</w:t>
      </w:r>
      <w:r>
        <w:rPr>
          <w:rFonts w:hint="eastAsia" w:cs="仿宋_GB2312"/>
          <w:sz w:val="24"/>
          <w:szCs w:val="32"/>
          <w:highlight w:val="none"/>
          <w:lang w:eastAsia="zh-CN"/>
        </w:rPr>
        <w:t>，</w:t>
      </w:r>
      <w:r>
        <w:rPr>
          <w:rFonts w:hint="eastAsia" w:cs="仿宋_GB2312"/>
          <w:sz w:val="24"/>
          <w:szCs w:val="32"/>
          <w:highlight w:val="none"/>
          <w:lang w:val="en-US" w:eastAsia="zh-CN"/>
        </w:rPr>
        <w:t>计划在合同签订后1.5个月内完成项目建设</w:t>
      </w:r>
      <w:r>
        <w:rPr>
          <w:rFonts w:hint="eastAsia" w:ascii="Times New Roman" w:hAnsi="Times New Roman" w:eastAsia="宋体" w:cs="仿宋_GB2312"/>
          <w:sz w:val="24"/>
          <w:szCs w:val="32"/>
          <w:highlight w:val="none"/>
        </w:rPr>
        <w:t>（以下表格是预估的建设周期，实际以现场情况和合同签订时间为准）</w:t>
      </w:r>
      <w:r>
        <w:rPr>
          <w:rFonts w:hint="eastAsia" w:cs="仿宋_GB2312"/>
          <w:sz w:val="24"/>
          <w:szCs w:val="32"/>
          <w:highlight w:val="none"/>
          <w:lang w:eastAsia="zh-CN"/>
        </w:rPr>
        <w:t>，</w:t>
      </w:r>
      <w:r>
        <w:rPr>
          <w:rFonts w:hint="eastAsia" w:cs="仿宋_GB2312"/>
          <w:sz w:val="24"/>
          <w:szCs w:val="32"/>
          <w:highlight w:val="none"/>
          <w:lang w:val="en-US" w:eastAsia="zh-CN"/>
        </w:rPr>
        <w:t>随后进入运维期</w:t>
      </w:r>
      <w:r>
        <w:rPr>
          <w:rFonts w:hint="eastAsia" w:ascii="Times New Roman" w:hAnsi="Times New Roman" w:eastAsia="宋体" w:cs="仿宋_GB2312"/>
          <w:sz w:val="24"/>
          <w:szCs w:val="32"/>
          <w:highlight w:val="none"/>
        </w:rPr>
        <w:t>。</w:t>
      </w:r>
    </w:p>
    <w:tbl>
      <w:tblPr>
        <w:tblStyle w:val="1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2"/>
        <w:gridCol w:w="1126"/>
        <w:gridCol w:w="3235"/>
        <w:gridCol w:w="1212"/>
        <w:gridCol w:w="31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contextualSpacing w:val="0"/>
              <w:jc w:val="center"/>
              <w:textAlignment w:val="center"/>
              <w:rPr>
                <w:rFonts w:ascii="Times New Roman" w:hAnsi="Times New Roman" w:eastAsia="宋体" w:cs="等线"/>
                <w:b/>
                <w:bCs/>
                <w:i w:val="0"/>
                <w:iCs w:val="0"/>
                <w:color w:val="000000"/>
                <w:sz w:val="21"/>
                <w:szCs w:val="21"/>
                <w:highlight w:val="yellow"/>
                <w:u w:val="none"/>
              </w:rPr>
            </w:pPr>
            <w:r>
              <w:rPr>
                <w:rFonts w:hint="eastAsia" w:ascii="Times New Roman" w:hAnsi="Times New Roman" w:eastAsia="宋体" w:cs="等线"/>
                <w:b/>
                <w:bCs/>
                <w:i w:val="0"/>
                <w:iCs w:val="0"/>
                <w:color w:val="000000"/>
                <w:kern w:val="0"/>
                <w:sz w:val="21"/>
                <w:szCs w:val="21"/>
                <w:highlight w:val="yellow"/>
                <w:u w:val="none"/>
                <w:lang w:val="en-US" w:eastAsia="zh-CN" w:bidi="ar"/>
              </w:rPr>
              <w:t>序号</w:t>
            </w:r>
          </w:p>
        </w:tc>
        <w:tc>
          <w:tcPr>
            <w:tcW w:w="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contextualSpacing w:val="0"/>
              <w:jc w:val="center"/>
              <w:textAlignment w:val="center"/>
              <w:rPr>
                <w:rFonts w:hint="eastAsia" w:ascii="Times New Roman" w:hAnsi="Times New Roman" w:eastAsia="宋体" w:cs="等线"/>
                <w:b/>
                <w:bCs/>
                <w:i w:val="0"/>
                <w:iCs w:val="0"/>
                <w:color w:val="000000"/>
                <w:sz w:val="21"/>
                <w:szCs w:val="21"/>
                <w:highlight w:val="yellow"/>
                <w:u w:val="none"/>
              </w:rPr>
            </w:pPr>
            <w:r>
              <w:rPr>
                <w:rFonts w:hint="eastAsia" w:ascii="Times New Roman" w:hAnsi="Times New Roman" w:eastAsia="宋体" w:cs="等线"/>
                <w:b/>
                <w:bCs/>
                <w:i w:val="0"/>
                <w:iCs w:val="0"/>
                <w:color w:val="000000"/>
                <w:kern w:val="0"/>
                <w:sz w:val="21"/>
                <w:szCs w:val="21"/>
                <w:highlight w:val="yellow"/>
                <w:u w:val="none"/>
                <w:lang w:val="en-US" w:eastAsia="zh-CN" w:bidi="ar"/>
              </w:rPr>
              <w:t>名称</w:t>
            </w:r>
          </w:p>
        </w:tc>
        <w:tc>
          <w:tcPr>
            <w:tcW w:w="1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contextualSpacing w:val="0"/>
              <w:jc w:val="center"/>
              <w:textAlignment w:val="center"/>
              <w:rPr>
                <w:rFonts w:hint="eastAsia" w:ascii="Times New Roman" w:hAnsi="Times New Roman" w:eastAsia="宋体" w:cs="等线"/>
                <w:b/>
                <w:bCs/>
                <w:i w:val="0"/>
                <w:iCs w:val="0"/>
                <w:color w:val="000000"/>
                <w:sz w:val="21"/>
                <w:szCs w:val="21"/>
                <w:highlight w:val="yellow"/>
                <w:u w:val="none"/>
              </w:rPr>
            </w:pPr>
            <w:r>
              <w:rPr>
                <w:rFonts w:hint="eastAsia" w:ascii="Times New Roman" w:hAnsi="Times New Roman" w:eastAsia="宋体" w:cs="等线"/>
                <w:b/>
                <w:bCs/>
                <w:i w:val="0"/>
                <w:iCs w:val="0"/>
                <w:color w:val="000000"/>
                <w:kern w:val="0"/>
                <w:sz w:val="21"/>
                <w:szCs w:val="21"/>
                <w:highlight w:val="yellow"/>
                <w:u w:val="none"/>
                <w:lang w:val="en-US" w:eastAsia="zh-CN" w:bidi="ar"/>
              </w:rPr>
              <w:t>工作内容</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contextualSpacing w:val="0"/>
              <w:jc w:val="center"/>
              <w:textAlignment w:val="center"/>
              <w:rPr>
                <w:rFonts w:hint="default" w:ascii="Times New Roman" w:hAnsi="Times New Roman" w:eastAsia="宋体" w:cs="等线"/>
                <w:b/>
                <w:bCs/>
                <w:i w:val="0"/>
                <w:iCs w:val="0"/>
                <w:color w:val="000000"/>
                <w:sz w:val="21"/>
                <w:szCs w:val="21"/>
                <w:highlight w:val="yellow"/>
                <w:u w:val="none"/>
                <w:lang w:val="en-US"/>
              </w:rPr>
            </w:pPr>
            <w:r>
              <w:rPr>
                <w:rFonts w:hint="eastAsia" w:cs="等线"/>
                <w:b/>
                <w:bCs/>
                <w:i w:val="0"/>
                <w:iCs w:val="0"/>
                <w:color w:val="000000"/>
                <w:kern w:val="0"/>
                <w:sz w:val="21"/>
                <w:szCs w:val="21"/>
                <w:highlight w:val="yellow"/>
                <w:u w:val="none"/>
                <w:lang w:val="en-US" w:eastAsia="zh-CN" w:bidi="ar"/>
              </w:rPr>
              <w:t>完成</w:t>
            </w:r>
            <w:r>
              <w:rPr>
                <w:rFonts w:hint="eastAsia" w:ascii="Times New Roman" w:hAnsi="Times New Roman" w:eastAsia="宋体" w:cs="等线"/>
                <w:b/>
                <w:bCs/>
                <w:i w:val="0"/>
                <w:iCs w:val="0"/>
                <w:color w:val="000000"/>
                <w:kern w:val="0"/>
                <w:sz w:val="21"/>
                <w:szCs w:val="21"/>
                <w:highlight w:val="yellow"/>
                <w:u w:val="none"/>
                <w:lang w:val="en-US" w:eastAsia="zh-CN" w:bidi="ar"/>
              </w:rPr>
              <w:t>时间</w:t>
            </w:r>
            <w:r>
              <w:rPr>
                <w:rFonts w:hint="eastAsia" w:cs="等线"/>
                <w:b/>
                <w:bCs/>
                <w:i w:val="0"/>
                <w:iCs w:val="0"/>
                <w:color w:val="000000"/>
                <w:kern w:val="0"/>
                <w:sz w:val="21"/>
                <w:szCs w:val="21"/>
                <w:highlight w:val="yellow"/>
                <w:u w:val="none"/>
                <w:lang w:val="en-US" w:eastAsia="zh-CN" w:bidi="ar"/>
              </w:rPr>
              <w:t>点</w:t>
            </w:r>
          </w:p>
        </w:tc>
        <w:tc>
          <w:tcPr>
            <w:tcW w:w="1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contextualSpacing w:val="0"/>
              <w:jc w:val="center"/>
              <w:textAlignment w:val="center"/>
              <w:rPr>
                <w:rFonts w:hint="eastAsia" w:ascii="Times New Roman" w:hAnsi="Times New Roman" w:eastAsia="宋体" w:cs="等线"/>
                <w:b/>
                <w:bCs/>
                <w:i w:val="0"/>
                <w:iCs w:val="0"/>
                <w:color w:val="000000"/>
                <w:sz w:val="21"/>
                <w:szCs w:val="21"/>
                <w:highlight w:val="yellow"/>
                <w:u w:val="none"/>
              </w:rPr>
            </w:pPr>
            <w:r>
              <w:rPr>
                <w:rFonts w:hint="eastAsia" w:ascii="Times New Roman" w:hAnsi="Times New Roman" w:eastAsia="宋体" w:cs="等线"/>
                <w:b/>
                <w:bCs/>
                <w:i w:val="0"/>
                <w:iCs w:val="0"/>
                <w:color w:val="000000"/>
                <w:kern w:val="0"/>
                <w:sz w:val="21"/>
                <w:szCs w:val="21"/>
                <w:highlight w:val="yellow"/>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313"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1</w:t>
            </w:r>
          </w:p>
        </w:tc>
        <w:tc>
          <w:tcPr>
            <w:tcW w:w="606"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项目启动</w:t>
            </w:r>
          </w:p>
        </w:tc>
        <w:tc>
          <w:tcPr>
            <w:tcW w:w="1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项目启动</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default" w:ascii="Times New Roman" w:hAnsi="Times New Roman" w:eastAsia="宋体" w:cs="等线"/>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2026/</w:t>
            </w:r>
            <w:r>
              <w:rPr>
                <w:rFonts w:hint="eastAsia" w:ascii="宋体" w:hAnsi="宋体" w:cs="宋体"/>
                <w:i w:val="0"/>
                <w:iCs w:val="0"/>
                <w:color w:val="000000"/>
                <w:kern w:val="0"/>
                <w:sz w:val="21"/>
                <w:szCs w:val="21"/>
                <w:highlight w:val="yellow"/>
                <w:u w:val="none"/>
                <w:lang w:val="en-US" w:eastAsia="zh-CN" w:bidi="ar"/>
              </w:rPr>
              <w:t>4</w:t>
            </w:r>
            <w:r>
              <w:rPr>
                <w:rFonts w:hint="eastAsia" w:ascii="宋体" w:hAnsi="宋体" w:eastAsia="宋体" w:cs="宋体"/>
                <w:i w:val="0"/>
                <w:iCs w:val="0"/>
                <w:color w:val="000000"/>
                <w:kern w:val="0"/>
                <w:sz w:val="21"/>
                <w:szCs w:val="21"/>
                <w:highlight w:val="yellow"/>
                <w:u w:val="none"/>
                <w:lang w:val="en-US" w:eastAsia="zh-CN" w:bidi="ar"/>
              </w:rPr>
              <w:t>/</w:t>
            </w:r>
            <w:r>
              <w:rPr>
                <w:rFonts w:hint="eastAsia" w:ascii="宋体" w:hAnsi="宋体" w:cs="宋体"/>
                <w:i w:val="0"/>
                <w:iCs w:val="0"/>
                <w:color w:val="000000"/>
                <w:kern w:val="0"/>
                <w:sz w:val="21"/>
                <w:szCs w:val="21"/>
                <w:highlight w:val="yellow"/>
                <w:u w:val="none"/>
                <w:lang w:val="en-US" w:eastAsia="zh-CN" w:bidi="ar"/>
              </w:rPr>
              <w:t>1</w:t>
            </w:r>
          </w:p>
        </w:tc>
        <w:tc>
          <w:tcPr>
            <w:tcW w:w="1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313"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606"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1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开工资料准备</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default" w:ascii="Times New Roman" w:hAnsi="Times New Roman" w:eastAsia="宋体" w:cs="等线"/>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2026/</w:t>
            </w:r>
            <w:r>
              <w:rPr>
                <w:rFonts w:hint="eastAsia" w:ascii="宋体" w:hAnsi="宋体" w:cs="宋体"/>
                <w:i w:val="0"/>
                <w:iCs w:val="0"/>
                <w:color w:val="000000"/>
                <w:kern w:val="0"/>
                <w:sz w:val="21"/>
                <w:szCs w:val="21"/>
                <w:highlight w:val="yellow"/>
                <w:u w:val="none"/>
                <w:lang w:val="en-US" w:eastAsia="zh-CN" w:bidi="ar"/>
              </w:rPr>
              <w:t>4</w:t>
            </w:r>
            <w:r>
              <w:rPr>
                <w:rFonts w:hint="eastAsia" w:ascii="宋体" w:hAnsi="宋体" w:eastAsia="宋体" w:cs="宋体"/>
                <w:i w:val="0"/>
                <w:iCs w:val="0"/>
                <w:color w:val="000000"/>
                <w:kern w:val="0"/>
                <w:sz w:val="21"/>
                <w:szCs w:val="21"/>
                <w:highlight w:val="yellow"/>
                <w:u w:val="none"/>
                <w:lang w:val="en-US" w:eastAsia="zh-CN" w:bidi="ar"/>
              </w:rPr>
              <w:t>/</w:t>
            </w:r>
            <w:r>
              <w:rPr>
                <w:rFonts w:hint="eastAsia" w:ascii="宋体" w:hAnsi="宋体" w:cs="宋体"/>
                <w:i w:val="0"/>
                <w:iCs w:val="0"/>
                <w:color w:val="000000"/>
                <w:kern w:val="0"/>
                <w:sz w:val="21"/>
                <w:szCs w:val="21"/>
                <w:highlight w:val="yellow"/>
                <w:u w:val="none"/>
                <w:lang w:val="en-US" w:eastAsia="zh-CN" w:bidi="ar"/>
              </w:rPr>
              <w:t>5</w:t>
            </w:r>
          </w:p>
        </w:tc>
        <w:tc>
          <w:tcPr>
            <w:tcW w:w="1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313"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606"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1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开工报审</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default" w:ascii="Times New Roman" w:hAnsi="Times New Roman" w:eastAsia="宋体" w:cs="等线"/>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2026/</w:t>
            </w:r>
            <w:r>
              <w:rPr>
                <w:rFonts w:hint="eastAsia" w:ascii="宋体" w:hAnsi="宋体" w:cs="宋体"/>
                <w:i w:val="0"/>
                <w:iCs w:val="0"/>
                <w:color w:val="000000"/>
                <w:kern w:val="0"/>
                <w:sz w:val="21"/>
                <w:szCs w:val="21"/>
                <w:highlight w:val="yellow"/>
                <w:u w:val="none"/>
                <w:lang w:val="en-US" w:eastAsia="zh-CN" w:bidi="ar"/>
              </w:rPr>
              <w:t>4</w:t>
            </w:r>
            <w:r>
              <w:rPr>
                <w:rFonts w:hint="eastAsia" w:ascii="宋体" w:hAnsi="宋体" w:eastAsia="宋体" w:cs="宋体"/>
                <w:i w:val="0"/>
                <w:iCs w:val="0"/>
                <w:color w:val="000000"/>
                <w:kern w:val="0"/>
                <w:sz w:val="21"/>
                <w:szCs w:val="21"/>
                <w:highlight w:val="yellow"/>
                <w:u w:val="none"/>
                <w:lang w:val="en-US" w:eastAsia="zh-CN" w:bidi="ar"/>
              </w:rPr>
              <w:t>/</w:t>
            </w:r>
            <w:r>
              <w:rPr>
                <w:rFonts w:hint="eastAsia" w:ascii="宋体" w:hAnsi="宋体" w:cs="宋体"/>
                <w:i w:val="0"/>
                <w:iCs w:val="0"/>
                <w:color w:val="000000"/>
                <w:kern w:val="0"/>
                <w:sz w:val="21"/>
                <w:szCs w:val="21"/>
                <w:highlight w:val="yellow"/>
                <w:u w:val="none"/>
                <w:lang w:val="en-US" w:eastAsia="zh-CN" w:bidi="ar"/>
              </w:rPr>
              <w:t>10</w:t>
            </w:r>
          </w:p>
        </w:tc>
        <w:tc>
          <w:tcPr>
            <w:tcW w:w="1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13"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606"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1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项目进场人员准备</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default" w:ascii="Times New Roman" w:hAnsi="Times New Roman" w:eastAsia="宋体" w:cs="等线"/>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2026/</w:t>
            </w:r>
            <w:r>
              <w:rPr>
                <w:rFonts w:hint="eastAsia" w:ascii="宋体" w:hAnsi="宋体" w:cs="宋体"/>
                <w:i w:val="0"/>
                <w:iCs w:val="0"/>
                <w:color w:val="000000"/>
                <w:kern w:val="0"/>
                <w:sz w:val="21"/>
                <w:szCs w:val="21"/>
                <w:highlight w:val="yellow"/>
                <w:u w:val="none"/>
                <w:lang w:val="en-US" w:eastAsia="zh-CN" w:bidi="ar"/>
              </w:rPr>
              <w:t>4</w:t>
            </w:r>
            <w:r>
              <w:rPr>
                <w:rFonts w:hint="eastAsia" w:ascii="宋体" w:hAnsi="宋体" w:eastAsia="宋体" w:cs="宋体"/>
                <w:i w:val="0"/>
                <w:iCs w:val="0"/>
                <w:color w:val="000000"/>
                <w:kern w:val="0"/>
                <w:sz w:val="21"/>
                <w:szCs w:val="21"/>
                <w:highlight w:val="yellow"/>
                <w:u w:val="none"/>
                <w:lang w:val="en-US" w:eastAsia="zh-CN" w:bidi="ar"/>
              </w:rPr>
              <w:t>/</w:t>
            </w:r>
            <w:r>
              <w:rPr>
                <w:rFonts w:hint="eastAsia" w:ascii="宋体" w:hAnsi="宋体" w:cs="宋体"/>
                <w:i w:val="0"/>
                <w:iCs w:val="0"/>
                <w:color w:val="000000"/>
                <w:kern w:val="0"/>
                <w:sz w:val="21"/>
                <w:szCs w:val="21"/>
                <w:highlight w:val="yellow"/>
                <w:u w:val="none"/>
                <w:lang w:val="en-US" w:eastAsia="zh-CN" w:bidi="ar"/>
              </w:rPr>
              <w:t>10</w:t>
            </w:r>
          </w:p>
        </w:tc>
        <w:tc>
          <w:tcPr>
            <w:tcW w:w="1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中心控制室</w:t>
            </w:r>
          </w:p>
        </w:tc>
        <w:tc>
          <w:tcPr>
            <w:tcW w:w="1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中控室装修施工</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default" w:ascii="Times New Roman" w:hAnsi="Times New Roman" w:eastAsia="宋体" w:cs="等线"/>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2026/4/</w:t>
            </w:r>
            <w:r>
              <w:rPr>
                <w:rFonts w:hint="eastAsia" w:ascii="宋体" w:hAnsi="宋体" w:cs="宋体"/>
                <w:i w:val="0"/>
                <w:iCs w:val="0"/>
                <w:color w:val="000000"/>
                <w:kern w:val="0"/>
                <w:sz w:val="21"/>
                <w:szCs w:val="21"/>
                <w:highlight w:val="yellow"/>
                <w:u w:val="none"/>
                <w:lang w:val="en-US" w:eastAsia="zh-CN" w:bidi="ar"/>
              </w:rPr>
              <w:t>17</w:t>
            </w:r>
          </w:p>
        </w:tc>
        <w:tc>
          <w:tcPr>
            <w:tcW w:w="1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1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中控室设备安装</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default" w:ascii="Times New Roman" w:hAnsi="Times New Roman" w:eastAsia="宋体" w:cs="等线"/>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2026/</w:t>
            </w:r>
            <w:r>
              <w:rPr>
                <w:rFonts w:hint="eastAsia" w:ascii="宋体" w:hAnsi="宋体" w:cs="宋体"/>
                <w:i w:val="0"/>
                <w:iCs w:val="0"/>
                <w:color w:val="000000"/>
                <w:kern w:val="0"/>
                <w:sz w:val="21"/>
                <w:szCs w:val="21"/>
                <w:highlight w:val="yellow"/>
                <w:u w:val="none"/>
                <w:lang w:val="en-US" w:eastAsia="zh-CN" w:bidi="ar"/>
              </w:rPr>
              <w:t>4</w:t>
            </w:r>
            <w:r>
              <w:rPr>
                <w:rFonts w:hint="eastAsia" w:ascii="宋体" w:hAnsi="宋体" w:eastAsia="宋体" w:cs="宋体"/>
                <w:i w:val="0"/>
                <w:iCs w:val="0"/>
                <w:color w:val="000000"/>
                <w:kern w:val="0"/>
                <w:sz w:val="21"/>
                <w:szCs w:val="21"/>
                <w:highlight w:val="yellow"/>
                <w:u w:val="none"/>
                <w:lang w:val="en-US" w:eastAsia="zh-CN" w:bidi="ar"/>
              </w:rPr>
              <w:t>/</w:t>
            </w:r>
            <w:r>
              <w:rPr>
                <w:rFonts w:hint="eastAsia" w:ascii="宋体" w:hAnsi="宋体" w:cs="宋体"/>
                <w:i w:val="0"/>
                <w:iCs w:val="0"/>
                <w:color w:val="000000"/>
                <w:kern w:val="0"/>
                <w:sz w:val="21"/>
                <w:szCs w:val="21"/>
                <w:highlight w:val="yellow"/>
                <w:u w:val="none"/>
                <w:lang w:val="en-US" w:eastAsia="zh-CN" w:bidi="ar"/>
              </w:rPr>
              <w:t>17</w:t>
            </w:r>
          </w:p>
        </w:tc>
        <w:tc>
          <w:tcPr>
            <w:tcW w:w="1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机柜设备安装、核心设备安装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3</w:t>
            </w:r>
          </w:p>
        </w:tc>
        <w:tc>
          <w:tcPr>
            <w:tcW w:w="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聚碳场区</w:t>
            </w:r>
          </w:p>
        </w:tc>
        <w:tc>
          <w:tcPr>
            <w:tcW w:w="1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监控立杆基础浇筑</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default" w:ascii="Times New Roman" w:hAnsi="Times New Roman" w:eastAsia="宋体" w:cs="等线"/>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2026/</w:t>
            </w:r>
            <w:r>
              <w:rPr>
                <w:rFonts w:hint="eastAsia" w:ascii="宋体" w:hAnsi="宋体" w:cs="宋体"/>
                <w:i w:val="0"/>
                <w:iCs w:val="0"/>
                <w:color w:val="000000"/>
                <w:kern w:val="0"/>
                <w:sz w:val="21"/>
                <w:szCs w:val="21"/>
                <w:highlight w:val="yellow"/>
                <w:u w:val="none"/>
                <w:lang w:val="en-US" w:eastAsia="zh-CN" w:bidi="ar"/>
              </w:rPr>
              <w:t>4</w:t>
            </w:r>
            <w:r>
              <w:rPr>
                <w:rFonts w:hint="eastAsia" w:ascii="宋体" w:hAnsi="宋体" w:eastAsia="宋体" w:cs="宋体"/>
                <w:i w:val="0"/>
                <w:iCs w:val="0"/>
                <w:color w:val="000000"/>
                <w:kern w:val="0"/>
                <w:sz w:val="21"/>
                <w:szCs w:val="21"/>
                <w:highlight w:val="yellow"/>
                <w:u w:val="none"/>
                <w:lang w:val="en-US" w:eastAsia="zh-CN" w:bidi="ar"/>
              </w:rPr>
              <w:t>/</w:t>
            </w:r>
            <w:r>
              <w:rPr>
                <w:rFonts w:hint="eastAsia" w:ascii="宋体" w:hAnsi="宋体" w:cs="宋体"/>
                <w:i w:val="0"/>
                <w:iCs w:val="0"/>
                <w:color w:val="000000"/>
                <w:kern w:val="0"/>
                <w:sz w:val="21"/>
                <w:szCs w:val="21"/>
                <w:highlight w:val="yellow"/>
                <w:u w:val="none"/>
                <w:lang w:val="en-US" w:eastAsia="zh-CN" w:bidi="ar"/>
              </w:rPr>
              <w:t>20</w:t>
            </w:r>
          </w:p>
        </w:tc>
        <w:tc>
          <w:tcPr>
            <w:tcW w:w="1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1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放线</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2026/</w:t>
            </w:r>
            <w:r>
              <w:rPr>
                <w:rFonts w:hint="eastAsia" w:ascii="宋体" w:hAnsi="宋体" w:cs="宋体"/>
                <w:i w:val="0"/>
                <w:iCs w:val="0"/>
                <w:color w:val="000000"/>
                <w:kern w:val="0"/>
                <w:sz w:val="21"/>
                <w:szCs w:val="21"/>
                <w:highlight w:val="yellow"/>
                <w:u w:val="none"/>
                <w:lang w:val="en-US" w:eastAsia="zh-CN" w:bidi="ar"/>
              </w:rPr>
              <w:t>4</w:t>
            </w:r>
            <w:r>
              <w:rPr>
                <w:rFonts w:hint="eastAsia" w:ascii="宋体" w:hAnsi="宋体" w:eastAsia="宋体" w:cs="宋体"/>
                <w:i w:val="0"/>
                <w:iCs w:val="0"/>
                <w:color w:val="000000"/>
                <w:kern w:val="0"/>
                <w:sz w:val="21"/>
                <w:szCs w:val="21"/>
                <w:highlight w:val="yellow"/>
                <w:u w:val="none"/>
                <w:lang w:val="en-US" w:eastAsia="zh-CN" w:bidi="ar"/>
              </w:rPr>
              <w:t>/</w:t>
            </w:r>
            <w:r>
              <w:rPr>
                <w:rFonts w:hint="eastAsia" w:ascii="宋体" w:hAnsi="宋体" w:cs="宋体"/>
                <w:i w:val="0"/>
                <w:iCs w:val="0"/>
                <w:color w:val="000000"/>
                <w:kern w:val="0"/>
                <w:sz w:val="21"/>
                <w:szCs w:val="21"/>
                <w:highlight w:val="yellow"/>
                <w:u w:val="none"/>
                <w:lang w:val="en-US" w:eastAsia="zh-CN" w:bidi="ar"/>
              </w:rPr>
              <w:t>25</w:t>
            </w:r>
          </w:p>
        </w:tc>
        <w:tc>
          <w:tcPr>
            <w:tcW w:w="1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光电复合缆、电源放线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1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摄像机设备安装</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default" w:ascii="Times New Roman" w:hAnsi="Times New Roman" w:eastAsia="宋体" w:cs="等线"/>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2026/</w:t>
            </w:r>
            <w:r>
              <w:rPr>
                <w:rFonts w:hint="eastAsia" w:ascii="宋体" w:hAnsi="宋体" w:cs="宋体"/>
                <w:i w:val="0"/>
                <w:iCs w:val="0"/>
                <w:color w:val="000000"/>
                <w:kern w:val="0"/>
                <w:sz w:val="21"/>
                <w:szCs w:val="21"/>
                <w:highlight w:val="yellow"/>
                <w:u w:val="none"/>
                <w:lang w:val="en-US" w:eastAsia="zh-CN" w:bidi="ar"/>
              </w:rPr>
              <w:t>4</w:t>
            </w:r>
            <w:r>
              <w:rPr>
                <w:rFonts w:hint="eastAsia" w:ascii="宋体" w:hAnsi="宋体" w:eastAsia="宋体" w:cs="宋体"/>
                <w:i w:val="0"/>
                <w:iCs w:val="0"/>
                <w:color w:val="000000"/>
                <w:kern w:val="0"/>
                <w:sz w:val="21"/>
                <w:szCs w:val="21"/>
                <w:highlight w:val="yellow"/>
                <w:u w:val="none"/>
                <w:lang w:val="en-US" w:eastAsia="zh-CN" w:bidi="ar"/>
              </w:rPr>
              <w:t>/</w:t>
            </w:r>
            <w:r>
              <w:rPr>
                <w:rFonts w:hint="eastAsia" w:ascii="宋体" w:hAnsi="宋体" w:cs="宋体"/>
                <w:i w:val="0"/>
                <w:iCs w:val="0"/>
                <w:color w:val="000000"/>
                <w:kern w:val="0"/>
                <w:sz w:val="21"/>
                <w:szCs w:val="21"/>
                <w:highlight w:val="yellow"/>
                <w:u w:val="none"/>
                <w:lang w:val="en-US" w:eastAsia="zh-CN" w:bidi="ar"/>
              </w:rPr>
              <w:t>30</w:t>
            </w:r>
          </w:p>
        </w:tc>
        <w:tc>
          <w:tcPr>
            <w:tcW w:w="1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监控立杆、摄像头安装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c>
          <w:tcPr>
            <w:tcW w:w="1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kern w:val="2"/>
                <w:sz w:val="21"/>
                <w:szCs w:val="21"/>
                <w:highlight w:val="yellow"/>
                <w:u w:val="none"/>
                <w:lang w:val="en-US" w:eastAsia="zh-CN" w:bidi="ar-SA"/>
              </w:rPr>
            </w:pPr>
            <w:r>
              <w:rPr>
                <w:rFonts w:hint="eastAsia" w:ascii="宋体" w:hAnsi="宋体" w:eastAsia="宋体" w:cs="宋体"/>
                <w:i w:val="0"/>
                <w:iCs w:val="0"/>
                <w:color w:val="000000"/>
                <w:kern w:val="0"/>
                <w:sz w:val="21"/>
                <w:szCs w:val="21"/>
                <w:highlight w:val="yellow"/>
                <w:u w:val="none"/>
                <w:lang w:val="en-US" w:eastAsia="zh-CN" w:bidi="ar"/>
              </w:rPr>
              <w:t>全部设备到货验收</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2026/</w:t>
            </w:r>
            <w:r>
              <w:rPr>
                <w:rFonts w:hint="eastAsia" w:ascii="宋体" w:hAnsi="宋体" w:cs="宋体"/>
                <w:i w:val="0"/>
                <w:iCs w:val="0"/>
                <w:color w:val="000000"/>
                <w:kern w:val="0"/>
                <w:sz w:val="21"/>
                <w:szCs w:val="21"/>
                <w:highlight w:val="yellow"/>
                <w:u w:val="none"/>
                <w:lang w:val="en-US" w:eastAsia="zh-CN" w:bidi="ar"/>
              </w:rPr>
              <w:t>5</w:t>
            </w:r>
            <w:r>
              <w:rPr>
                <w:rFonts w:hint="eastAsia" w:ascii="宋体" w:hAnsi="宋体" w:eastAsia="宋体" w:cs="宋体"/>
                <w:i w:val="0"/>
                <w:iCs w:val="0"/>
                <w:color w:val="000000"/>
                <w:kern w:val="0"/>
                <w:sz w:val="21"/>
                <w:szCs w:val="21"/>
                <w:highlight w:val="yellow"/>
                <w:u w:val="none"/>
                <w:lang w:val="en-US" w:eastAsia="zh-CN" w:bidi="ar"/>
              </w:rPr>
              <w:t>/</w:t>
            </w:r>
            <w:r>
              <w:rPr>
                <w:rFonts w:hint="eastAsia" w:ascii="宋体" w:hAnsi="宋体" w:cs="宋体"/>
                <w:i w:val="0"/>
                <w:iCs w:val="0"/>
                <w:color w:val="000000"/>
                <w:kern w:val="0"/>
                <w:sz w:val="21"/>
                <w:szCs w:val="21"/>
                <w:highlight w:val="yellow"/>
                <w:u w:val="none"/>
                <w:lang w:val="en-US" w:eastAsia="zh-CN" w:bidi="ar"/>
              </w:rPr>
              <w:t>10</w:t>
            </w:r>
          </w:p>
        </w:tc>
        <w:tc>
          <w:tcPr>
            <w:tcW w:w="1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5</w:t>
            </w:r>
          </w:p>
        </w:tc>
        <w:tc>
          <w:tcPr>
            <w:tcW w:w="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项目运维</w:t>
            </w:r>
          </w:p>
        </w:tc>
        <w:tc>
          <w:tcPr>
            <w:tcW w:w="1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eastAsia" w:ascii="Times New Roman" w:hAnsi="Times New Roman" w:eastAsia="宋体" w:cs="等线"/>
                <w:i w:val="0"/>
                <w:iCs w:val="0"/>
                <w:color w:val="000000"/>
                <w:sz w:val="21"/>
                <w:szCs w:val="21"/>
                <w:highlight w:val="yellow"/>
                <w:u w:val="none"/>
              </w:rPr>
            </w:pPr>
            <w:r>
              <w:rPr>
                <w:rFonts w:hint="eastAsia" w:ascii="宋体" w:hAnsi="宋体" w:cs="宋体"/>
                <w:i w:val="0"/>
                <w:iCs w:val="0"/>
                <w:color w:val="000000"/>
                <w:kern w:val="0"/>
                <w:sz w:val="21"/>
                <w:szCs w:val="21"/>
                <w:highlight w:val="yellow"/>
                <w:u w:val="none"/>
                <w:lang w:val="en-US" w:eastAsia="zh-CN" w:bidi="ar"/>
              </w:rPr>
              <w:t>系统</w:t>
            </w:r>
            <w:r>
              <w:rPr>
                <w:rFonts w:hint="eastAsia" w:ascii="宋体" w:hAnsi="宋体" w:eastAsia="宋体" w:cs="宋体"/>
                <w:i w:val="0"/>
                <w:iCs w:val="0"/>
                <w:color w:val="000000"/>
                <w:kern w:val="0"/>
                <w:sz w:val="21"/>
                <w:szCs w:val="21"/>
                <w:highlight w:val="yellow"/>
                <w:u w:val="none"/>
                <w:lang w:val="en-US" w:eastAsia="zh-CN" w:bidi="ar"/>
              </w:rPr>
              <w:t>验收后运维至项目竣工</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contextualSpacing w:val="0"/>
              <w:jc w:val="center"/>
              <w:textAlignment w:val="center"/>
              <w:rPr>
                <w:rFonts w:hint="default" w:ascii="Times New Roman" w:hAnsi="Times New Roman" w:eastAsia="宋体" w:cs="等线"/>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202</w:t>
            </w:r>
            <w:r>
              <w:rPr>
                <w:rFonts w:hint="eastAsia" w:ascii="宋体" w:hAnsi="宋体" w:cs="宋体"/>
                <w:i w:val="0"/>
                <w:iCs w:val="0"/>
                <w:color w:val="000000"/>
                <w:kern w:val="0"/>
                <w:sz w:val="21"/>
                <w:szCs w:val="21"/>
                <w:highlight w:val="yellow"/>
                <w:u w:val="none"/>
                <w:lang w:val="en-US" w:eastAsia="zh-CN" w:bidi="ar"/>
              </w:rPr>
              <w:t>7</w:t>
            </w:r>
            <w:r>
              <w:rPr>
                <w:rFonts w:hint="eastAsia" w:ascii="宋体" w:hAnsi="宋体" w:eastAsia="宋体" w:cs="宋体"/>
                <w:i w:val="0"/>
                <w:iCs w:val="0"/>
                <w:color w:val="000000"/>
                <w:kern w:val="0"/>
                <w:sz w:val="21"/>
                <w:szCs w:val="21"/>
                <w:highlight w:val="yellow"/>
                <w:u w:val="none"/>
                <w:lang w:val="en-US" w:eastAsia="zh-CN" w:bidi="ar"/>
              </w:rPr>
              <w:t>/</w:t>
            </w:r>
            <w:r>
              <w:rPr>
                <w:rFonts w:hint="eastAsia" w:ascii="宋体" w:hAnsi="宋体" w:cs="宋体"/>
                <w:i w:val="0"/>
                <w:iCs w:val="0"/>
                <w:color w:val="000000"/>
                <w:kern w:val="0"/>
                <w:sz w:val="21"/>
                <w:szCs w:val="21"/>
                <w:highlight w:val="yellow"/>
                <w:u w:val="none"/>
                <w:lang w:val="en-US" w:eastAsia="zh-CN" w:bidi="ar"/>
              </w:rPr>
              <w:t>6</w:t>
            </w:r>
            <w:r>
              <w:rPr>
                <w:rFonts w:hint="eastAsia" w:ascii="宋体" w:hAnsi="宋体" w:eastAsia="宋体" w:cs="宋体"/>
                <w:i w:val="0"/>
                <w:iCs w:val="0"/>
                <w:color w:val="000000"/>
                <w:kern w:val="0"/>
                <w:sz w:val="21"/>
                <w:szCs w:val="21"/>
                <w:highlight w:val="yellow"/>
                <w:u w:val="none"/>
                <w:lang w:val="en-US" w:eastAsia="zh-CN" w:bidi="ar"/>
              </w:rPr>
              <w:t>/</w:t>
            </w:r>
            <w:r>
              <w:rPr>
                <w:rFonts w:hint="eastAsia" w:ascii="宋体" w:hAnsi="宋体" w:cs="宋体"/>
                <w:i w:val="0"/>
                <w:iCs w:val="0"/>
                <w:color w:val="000000"/>
                <w:kern w:val="0"/>
                <w:sz w:val="21"/>
                <w:szCs w:val="21"/>
                <w:highlight w:val="yellow"/>
                <w:u w:val="none"/>
                <w:lang w:val="en-US" w:eastAsia="zh-CN" w:bidi="ar"/>
              </w:rPr>
              <w:t>30</w:t>
            </w:r>
          </w:p>
        </w:tc>
        <w:tc>
          <w:tcPr>
            <w:tcW w:w="1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等线"/>
                <w:i w:val="0"/>
                <w:iCs w:val="0"/>
                <w:color w:val="000000"/>
                <w:sz w:val="21"/>
                <w:szCs w:val="21"/>
                <w:highlight w:val="yellow"/>
                <w:u w:val="none"/>
              </w:rPr>
            </w:pPr>
          </w:p>
        </w:tc>
      </w:tr>
    </w:tbl>
    <w:p>
      <w:pPr>
        <w:pStyle w:val="28"/>
        <w:ind w:left="0" w:leftChars="0" w:firstLine="0" w:firstLineChars="0"/>
        <w:rPr>
          <w:rFonts w:hint="eastAsia" w:ascii="Times New Roman" w:hAnsi="Times New Roman" w:eastAsia="宋体" w:cs="仿宋_GB2312"/>
          <w:sz w:val="24"/>
          <w:szCs w:val="32"/>
          <w:highlight w:val="none"/>
        </w:rPr>
      </w:pPr>
    </w:p>
    <w:p>
      <w:pPr>
        <w:pStyle w:val="2"/>
        <w:numPr>
          <w:ilvl w:val="1"/>
          <w:numId w:val="0"/>
        </w:numPr>
        <w:bidi w:val="0"/>
        <w:ind w:leftChars="0"/>
        <w:rPr>
          <w:rFonts w:hint="eastAsia"/>
          <w:highlight w:val="none"/>
          <w:lang w:val="en-US"/>
        </w:rPr>
      </w:pPr>
      <w:bookmarkStart w:id="156" w:name="_Toc982"/>
      <w:bookmarkStart w:id="157" w:name="_Toc26455"/>
      <w:bookmarkStart w:id="158" w:name="_Toc2146"/>
      <w:bookmarkStart w:id="159" w:name="_Toc66798790"/>
      <w:r>
        <w:rPr>
          <w:rFonts w:hint="eastAsia"/>
          <w:highlight w:val="none"/>
          <w:lang w:val="en-US" w:eastAsia="zh-CN"/>
        </w:rPr>
        <w:t>8.2</w:t>
      </w:r>
      <w:r>
        <w:rPr>
          <w:rFonts w:hint="eastAsia"/>
          <w:highlight w:val="none"/>
          <w:lang w:val="en-US"/>
        </w:rPr>
        <w:t>HSE管理要求</w:t>
      </w:r>
      <w:bookmarkEnd w:id="156"/>
      <w:bookmarkEnd w:id="157"/>
      <w:bookmarkEnd w:id="158"/>
      <w:bookmarkStart w:id="160" w:name="_Toc22218"/>
      <w:bookmarkStart w:id="161" w:name="_Toc1380"/>
    </w:p>
    <w:p>
      <w:pPr>
        <w:pStyle w:val="4"/>
        <w:numPr>
          <w:ilvl w:val="2"/>
          <w:numId w:val="0"/>
        </w:numPr>
        <w:bidi w:val="0"/>
        <w:ind w:leftChars="0"/>
        <w:rPr>
          <w:highlight w:val="none"/>
          <w:lang w:val="en-US"/>
        </w:rPr>
      </w:pPr>
      <w:bookmarkStart w:id="162" w:name="_Toc17907"/>
      <w:r>
        <w:rPr>
          <w:rFonts w:hint="eastAsia"/>
          <w:highlight w:val="none"/>
          <w:lang w:val="en-US" w:eastAsia="zh-CN"/>
        </w:rPr>
        <w:t>8.2.1</w:t>
      </w:r>
      <w:r>
        <w:rPr>
          <w:highlight w:val="none"/>
          <w:lang w:val="en-US"/>
        </w:rPr>
        <w:t>HSE理念与方针</w:t>
      </w:r>
      <w:bookmarkEnd w:id="160"/>
      <w:bookmarkEnd w:id="161"/>
      <w:bookmarkEnd w:id="162"/>
    </w:p>
    <w:p>
      <w:pPr>
        <w:pStyle w:val="28"/>
        <w:numPr>
          <w:ilvl w:val="0"/>
          <w:numId w:val="0"/>
        </w:numPr>
        <w:tabs>
          <w:tab w:val="left" w:pos="6113"/>
        </w:tabs>
        <w:rPr>
          <w:rFonts w:hint="eastAsia" w:cs="Times New Roman"/>
          <w:kern w:val="2"/>
          <w:sz w:val="24"/>
          <w:szCs w:val="24"/>
          <w:highlight w:val="none"/>
          <w:lang w:val="en-GB" w:eastAsia="zh-CN" w:bidi="ar-SA"/>
        </w:rPr>
      </w:pPr>
      <w:bookmarkStart w:id="163" w:name="_Toc12057"/>
      <w:bookmarkStart w:id="164" w:name="_Toc23137"/>
      <w:r>
        <w:rPr>
          <w:rFonts w:hint="eastAsia" w:cs="Times New Roman"/>
          <w:kern w:val="2"/>
          <w:sz w:val="24"/>
          <w:szCs w:val="24"/>
          <w:highlight w:val="none"/>
          <w:lang w:val="en-GB" w:eastAsia="zh-CN" w:bidi="ar-SA"/>
        </w:rPr>
        <w:t>（</w:t>
      </w:r>
      <w:r>
        <w:rPr>
          <w:rFonts w:hint="eastAsia" w:cs="Times New Roman"/>
          <w:kern w:val="2"/>
          <w:sz w:val="24"/>
          <w:szCs w:val="24"/>
          <w:highlight w:val="none"/>
          <w:lang w:val="en-US" w:eastAsia="zh-CN" w:bidi="ar-SA"/>
        </w:rPr>
        <w:t>1</w:t>
      </w:r>
      <w:r>
        <w:rPr>
          <w:rFonts w:hint="eastAsia" w:cs="Times New Roman"/>
          <w:kern w:val="2"/>
          <w:sz w:val="24"/>
          <w:szCs w:val="24"/>
          <w:highlight w:val="none"/>
          <w:lang w:val="en-GB" w:eastAsia="zh-CN" w:bidi="ar-SA"/>
        </w:rPr>
        <w:t>）HSE理念</w:t>
      </w:r>
      <w:bookmarkEnd w:id="163"/>
      <w:bookmarkEnd w:id="164"/>
      <w:r>
        <w:rPr>
          <w:rFonts w:hint="eastAsia" w:cs="Times New Roman"/>
          <w:kern w:val="2"/>
          <w:sz w:val="24"/>
          <w:szCs w:val="24"/>
          <w:highlight w:val="none"/>
          <w:lang w:val="en-GB" w:eastAsia="zh-CN" w:bidi="ar-SA"/>
        </w:rPr>
        <w:tab/>
      </w:r>
    </w:p>
    <w:p>
      <w:pPr>
        <w:ind w:firstLine="420"/>
        <w:rPr>
          <w:rFonts w:ascii="Times New Roman" w:hAnsi="Times New Roman" w:eastAsia="宋体" w:cs="仿宋_GB2312"/>
          <w:color w:val="000000" w:themeColor="text1"/>
          <w:sz w:val="21"/>
          <w:szCs w:val="22"/>
          <w:highlight w:val="none"/>
          <w14:textFill>
            <w14:solidFill>
              <w14:schemeClr w14:val="tx1"/>
            </w14:solidFill>
          </w14:textFill>
        </w:rPr>
      </w:pPr>
      <w:r>
        <w:rPr>
          <w:rFonts w:ascii="Times New Roman" w:hAnsi="Times New Roman" w:eastAsia="宋体" w:cs="仿宋_GB2312"/>
          <w:color w:val="000000" w:themeColor="text1"/>
          <w:sz w:val="21"/>
          <w:szCs w:val="22"/>
          <w:highlight w:val="none"/>
          <w14:textFill>
            <w14:solidFill>
              <w14:schemeClr w14:val="tx1"/>
            </w14:solidFill>
          </w14:textFill>
        </w:rPr>
        <w:t>为实现可持续发展的战略目标，坚持“安全第一，环保至上，人为根本，设备完好”的HSE核心价值观和以下HSE管理理念：</w:t>
      </w:r>
    </w:p>
    <w:p>
      <w:pPr>
        <w:pStyle w:val="28"/>
        <w:numPr>
          <w:ilvl w:val="0"/>
          <w:numId w:val="24"/>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健康安全环保是公司生存的基础、发展的保障；</w:t>
      </w:r>
    </w:p>
    <w:p>
      <w:pPr>
        <w:pStyle w:val="28"/>
        <w:numPr>
          <w:ilvl w:val="0"/>
          <w:numId w:val="24"/>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管理健康安全环保事务，不仅是经济责任，更是社会责任；</w:t>
      </w:r>
    </w:p>
    <w:p>
      <w:pPr>
        <w:pStyle w:val="28"/>
        <w:numPr>
          <w:ilvl w:val="0"/>
          <w:numId w:val="24"/>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员工是公司最宝贵的资源和财富，以人为本，关爱生命；</w:t>
      </w:r>
    </w:p>
    <w:p>
      <w:pPr>
        <w:pStyle w:val="28"/>
        <w:numPr>
          <w:ilvl w:val="0"/>
          <w:numId w:val="24"/>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设定目标，只有“执行”才能实现；</w:t>
      </w:r>
    </w:p>
    <w:p>
      <w:pPr>
        <w:pStyle w:val="28"/>
        <w:numPr>
          <w:ilvl w:val="0"/>
          <w:numId w:val="24"/>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体系化管理，持续改进，坚信“没有最好，只有更好”；</w:t>
      </w:r>
    </w:p>
    <w:p>
      <w:pPr>
        <w:pStyle w:val="28"/>
        <w:numPr>
          <w:ilvl w:val="0"/>
          <w:numId w:val="24"/>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安全行为“五想五不干”，注重细节、控制风险；</w:t>
      </w:r>
    </w:p>
    <w:p>
      <w:pPr>
        <w:pStyle w:val="28"/>
        <w:numPr>
          <w:ilvl w:val="0"/>
          <w:numId w:val="24"/>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管理承包商，分享信息和经验，实现双赢；</w:t>
      </w:r>
    </w:p>
    <w:p>
      <w:pPr>
        <w:pStyle w:val="28"/>
        <w:numPr>
          <w:ilvl w:val="0"/>
          <w:numId w:val="24"/>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尽量使用清洁无害的材料和能源，保护环境和资源；</w:t>
      </w:r>
    </w:p>
    <w:p>
      <w:pPr>
        <w:pStyle w:val="28"/>
        <w:numPr>
          <w:ilvl w:val="0"/>
          <w:numId w:val="24"/>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不仅遵守法规标准，更要争先创优、努力提高行业水平；</w:t>
      </w:r>
    </w:p>
    <w:p>
      <w:pPr>
        <w:pStyle w:val="28"/>
        <w:numPr>
          <w:ilvl w:val="0"/>
          <w:numId w:val="24"/>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健康安全环保是企业整体素质的综合反映。</w:t>
      </w:r>
    </w:p>
    <w:p>
      <w:pPr>
        <w:pStyle w:val="28"/>
        <w:numPr>
          <w:ilvl w:val="0"/>
          <w:numId w:val="0"/>
        </w:numPr>
        <w:rPr>
          <w:rFonts w:hint="eastAsia" w:cs="Times New Roman"/>
          <w:kern w:val="2"/>
          <w:sz w:val="24"/>
          <w:szCs w:val="24"/>
          <w:highlight w:val="none"/>
          <w:lang w:val="en-GB" w:eastAsia="zh-CN" w:bidi="ar-SA"/>
        </w:rPr>
      </w:pPr>
      <w:bookmarkStart w:id="165" w:name="_Toc16687"/>
      <w:bookmarkStart w:id="166" w:name="_Toc13518"/>
      <w:r>
        <w:rPr>
          <w:rFonts w:hint="eastAsia" w:cs="Times New Roman"/>
          <w:kern w:val="2"/>
          <w:sz w:val="24"/>
          <w:szCs w:val="24"/>
          <w:highlight w:val="none"/>
          <w:lang w:val="en-GB" w:eastAsia="zh-CN" w:bidi="ar-SA"/>
        </w:rPr>
        <w:t>（</w:t>
      </w:r>
      <w:r>
        <w:rPr>
          <w:rFonts w:hint="eastAsia" w:cs="Times New Roman"/>
          <w:kern w:val="2"/>
          <w:sz w:val="24"/>
          <w:szCs w:val="24"/>
          <w:highlight w:val="none"/>
          <w:lang w:val="en-US" w:eastAsia="zh-CN" w:bidi="ar-SA"/>
        </w:rPr>
        <w:t>2</w:t>
      </w:r>
      <w:r>
        <w:rPr>
          <w:rFonts w:hint="eastAsia" w:cs="Times New Roman"/>
          <w:kern w:val="2"/>
          <w:sz w:val="24"/>
          <w:szCs w:val="24"/>
          <w:highlight w:val="none"/>
          <w:lang w:val="en-GB" w:eastAsia="zh-CN" w:bidi="ar-SA"/>
        </w:rPr>
        <w:t>）HSE方针</w:t>
      </w:r>
      <w:bookmarkEnd w:id="165"/>
      <w:bookmarkEnd w:id="166"/>
    </w:p>
    <w:p>
      <w:pPr>
        <w:ind w:firstLine="420"/>
        <w:rPr>
          <w:rFonts w:ascii="Times New Roman" w:hAnsi="Times New Roman" w:eastAsia="宋体" w:cs="仿宋_GB2312"/>
          <w:color w:val="000000" w:themeColor="text1"/>
          <w:sz w:val="21"/>
          <w:szCs w:val="22"/>
          <w:highlight w:val="none"/>
          <w14:textFill>
            <w14:solidFill>
              <w14:schemeClr w14:val="tx1"/>
            </w14:solidFill>
          </w14:textFill>
        </w:rPr>
      </w:pPr>
      <w:r>
        <w:rPr>
          <w:rFonts w:ascii="Times New Roman" w:hAnsi="Times New Roman" w:eastAsia="宋体" w:cs="仿宋_GB2312"/>
          <w:color w:val="000000" w:themeColor="text1"/>
          <w:sz w:val="21"/>
          <w:szCs w:val="22"/>
          <w:highlight w:val="none"/>
          <w14:textFill>
            <w14:solidFill>
              <w14:schemeClr w14:val="tx1"/>
            </w14:solidFill>
          </w14:textFill>
        </w:rPr>
        <w:t>遵守法规安全第一保护环境以人为本持续改进</w:t>
      </w:r>
    </w:p>
    <w:p>
      <w:pPr>
        <w:pStyle w:val="28"/>
        <w:numPr>
          <w:ilvl w:val="0"/>
          <w:numId w:val="0"/>
        </w:numPr>
        <w:rPr>
          <w:rFonts w:hint="eastAsia" w:cs="Times New Roman"/>
          <w:kern w:val="2"/>
          <w:sz w:val="24"/>
          <w:szCs w:val="24"/>
          <w:highlight w:val="none"/>
          <w:lang w:val="en-GB" w:eastAsia="zh-CN" w:bidi="ar-SA"/>
        </w:rPr>
      </w:pPr>
      <w:bookmarkStart w:id="167" w:name="_Toc16865"/>
      <w:bookmarkStart w:id="168" w:name="_Toc11320"/>
      <w:r>
        <w:rPr>
          <w:rFonts w:hint="eastAsia" w:cs="Times New Roman"/>
          <w:kern w:val="2"/>
          <w:sz w:val="24"/>
          <w:szCs w:val="24"/>
          <w:highlight w:val="none"/>
          <w:lang w:val="en-GB" w:eastAsia="zh-CN" w:bidi="ar-SA"/>
        </w:rPr>
        <w:t>（</w:t>
      </w:r>
      <w:r>
        <w:rPr>
          <w:rFonts w:hint="eastAsia" w:cs="Times New Roman"/>
          <w:kern w:val="2"/>
          <w:sz w:val="24"/>
          <w:szCs w:val="24"/>
          <w:highlight w:val="none"/>
          <w:lang w:val="en-US" w:eastAsia="zh-CN" w:bidi="ar-SA"/>
        </w:rPr>
        <w:t>3</w:t>
      </w:r>
      <w:r>
        <w:rPr>
          <w:rFonts w:hint="eastAsia" w:cs="Times New Roman"/>
          <w:kern w:val="2"/>
          <w:sz w:val="24"/>
          <w:szCs w:val="24"/>
          <w:highlight w:val="none"/>
          <w:lang w:val="en-GB" w:eastAsia="zh-CN" w:bidi="ar-SA"/>
        </w:rPr>
        <w:t>）HSE目标</w:t>
      </w:r>
      <w:bookmarkEnd w:id="167"/>
      <w:bookmarkEnd w:id="168"/>
    </w:p>
    <w:p>
      <w:pPr>
        <w:ind w:firstLine="420"/>
        <w:rPr>
          <w:rFonts w:ascii="Times New Roman" w:hAnsi="Times New Roman" w:eastAsia="宋体" w:cs="仿宋_GB2312"/>
          <w:color w:val="000000" w:themeColor="text1"/>
          <w:sz w:val="21"/>
          <w:szCs w:val="22"/>
          <w:highlight w:val="none"/>
          <w14:textFill>
            <w14:solidFill>
              <w14:schemeClr w14:val="tx1"/>
            </w14:solidFill>
          </w14:textFill>
        </w:rPr>
      </w:pPr>
      <w:r>
        <w:rPr>
          <w:rFonts w:ascii="Times New Roman" w:hAnsi="Times New Roman" w:eastAsia="宋体" w:cs="仿宋_GB2312"/>
          <w:color w:val="000000" w:themeColor="text1"/>
          <w:sz w:val="21"/>
          <w:szCs w:val="22"/>
          <w:highlight w:val="none"/>
          <w14:textFill>
            <w14:solidFill>
              <w14:schemeClr w14:val="tx1"/>
            </w14:solidFill>
          </w14:textFill>
        </w:rPr>
        <w:t>零伤害、零事故、零污染，争创一流HSE业绩</w:t>
      </w:r>
    </w:p>
    <w:p>
      <w:pPr>
        <w:pStyle w:val="28"/>
        <w:numPr>
          <w:ilvl w:val="0"/>
          <w:numId w:val="0"/>
        </w:numPr>
        <w:rPr>
          <w:rFonts w:hint="eastAsia" w:cs="Times New Roman"/>
          <w:kern w:val="2"/>
          <w:sz w:val="24"/>
          <w:szCs w:val="24"/>
          <w:highlight w:val="none"/>
          <w:lang w:val="en-GB" w:eastAsia="zh-CN" w:bidi="ar-SA"/>
        </w:rPr>
      </w:pPr>
      <w:bookmarkStart w:id="169" w:name="_Toc20238"/>
      <w:bookmarkStart w:id="170" w:name="_Toc11561"/>
      <w:r>
        <w:rPr>
          <w:rFonts w:hint="eastAsia" w:cs="Times New Roman"/>
          <w:kern w:val="2"/>
          <w:sz w:val="24"/>
          <w:szCs w:val="24"/>
          <w:highlight w:val="none"/>
          <w:lang w:val="en-GB" w:eastAsia="zh-CN" w:bidi="ar-SA"/>
        </w:rPr>
        <w:t>（</w:t>
      </w:r>
      <w:r>
        <w:rPr>
          <w:rFonts w:hint="eastAsia" w:cs="Times New Roman"/>
          <w:kern w:val="2"/>
          <w:sz w:val="24"/>
          <w:szCs w:val="24"/>
          <w:highlight w:val="none"/>
          <w:lang w:val="en-US" w:eastAsia="zh-CN" w:bidi="ar-SA"/>
        </w:rPr>
        <w:t>4</w:t>
      </w:r>
      <w:r>
        <w:rPr>
          <w:rFonts w:hint="eastAsia" w:cs="Times New Roman"/>
          <w:kern w:val="2"/>
          <w:sz w:val="24"/>
          <w:szCs w:val="24"/>
          <w:highlight w:val="none"/>
          <w:lang w:val="en-GB" w:eastAsia="zh-CN" w:bidi="ar-SA"/>
        </w:rPr>
        <w:t>）HSE承诺</w:t>
      </w:r>
      <w:bookmarkEnd w:id="169"/>
      <w:bookmarkEnd w:id="170"/>
    </w:p>
    <w:p>
      <w:pPr>
        <w:pStyle w:val="28"/>
        <w:numPr>
          <w:ilvl w:val="0"/>
          <w:numId w:val="25"/>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投标方应遵守中华人民共和国和所在地方政府关于HSE的法律、法规、标准和规范，在项目中贯彻落实招标方的HSE理念、方针、目标，遵守</w:t>
      </w:r>
      <w:r>
        <w:rPr>
          <w:rStyle w:val="26"/>
          <w:rFonts w:hint="eastAsia" w:cs="仿宋_GB2312"/>
          <w:sz w:val="24"/>
          <w:szCs w:val="32"/>
          <w:highlight w:val="none"/>
          <w:lang w:val="en-US" w:eastAsia="zh-CN"/>
        </w:rPr>
        <w:t>建设单位与</w:t>
      </w:r>
      <w:r>
        <w:rPr>
          <w:rStyle w:val="26"/>
          <w:rFonts w:hint="eastAsia" w:ascii="Times New Roman" w:hAnsi="Times New Roman" w:eastAsia="宋体" w:cs="仿宋_GB2312"/>
          <w:sz w:val="24"/>
          <w:szCs w:val="32"/>
          <w:highlight w:val="none"/>
          <w:lang w:val="en-GB" w:eastAsia="zh-CN"/>
        </w:rPr>
        <w:t>招标方的HSE管理体系和安委会的各项决议要求以及有关HSE文件通知等要求；</w:t>
      </w:r>
    </w:p>
    <w:p>
      <w:pPr>
        <w:pStyle w:val="28"/>
        <w:numPr>
          <w:ilvl w:val="0"/>
          <w:numId w:val="25"/>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投标方应建立项目安全生产责任制，投标方所有成员必须严格执行安全生产“一岗双责”要求，项目经理部应与各岗位人员签订安全生产责任书，明确各岗位人员的安全职责；</w:t>
      </w:r>
    </w:p>
    <w:p>
      <w:pPr>
        <w:pStyle w:val="28"/>
        <w:numPr>
          <w:ilvl w:val="0"/>
          <w:numId w:val="25"/>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投标方在项目执行期间，必须实现零伤害、零事故、零污染的目标；</w:t>
      </w:r>
    </w:p>
    <w:p>
      <w:pPr>
        <w:pStyle w:val="28"/>
        <w:numPr>
          <w:ilvl w:val="0"/>
          <w:numId w:val="25"/>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投标方应确保其所有的工作人员都准确理解本协议书的相关内容，并严格遵守本协议书各条款的规定；</w:t>
      </w:r>
    </w:p>
    <w:p>
      <w:pPr>
        <w:pStyle w:val="28"/>
        <w:numPr>
          <w:ilvl w:val="0"/>
          <w:numId w:val="25"/>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投标方应在入场开工前向招标方提供所有雇佣员工不低于</w:t>
      </w:r>
      <w:r>
        <w:rPr>
          <w:rStyle w:val="26"/>
          <w:rFonts w:hint="eastAsia" w:cs="仿宋_GB2312"/>
          <w:sz w:val="24"/>
          <w:szCs w:val="32"/>
          <w:highlight w:val="none"/>
          <w:lang w:val="en-US" w:eastAsia="zh-CN"/>
        </w:rPr>
        <w:t>2</w:t>
      </w:r>
      <w:r>
        <w:rPr>
          <w:rStyle w:val="26"/>
          <w:rFonts w:hint="eastAsia" w:ascii="Times New Roman" w:hAnsi="Times New Roman" w:eastAsia="宋体" w:cs="仿宋_GB2312"/>
          <w:sz w:val="24"/>
          <w:szCs w:val="32"/>
          <w:highlight w:val="none"/>
          <w:lang w:val="en-GB" w:eastAsia="zh-CN"/>
        </w:rPr>
        <w:t>00万/人意外伤害保险、所有人员的近一个月的体检证明（包括不限于血常规、心电图）和身份证复印件。不得将身体状况不良、存在疾病或精神异常而可能影响自身或他人安全和健康的人员，以及有不良行为记录或案底的人员派进执行现场；</w:t>
      </w:r>
    </w:p>
    <w:p>
      <w:pPr>
        <w:pStyle w:val="28"/>
        <w:numPr>
          <w:ilvl w:val="0"/>
          <w:numId w:val="25"/>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投标方应确保提供的设施、设备和工机具性能完好，符合有关的HSE标准；</w:t>
      </w:r>
    </w:p>
    <w:p>
      <w:pPr>
        <w:pStyle w:val="28"/>
        <w:numPr>
          <w:ilvl w:val="0"/>
          <w:numId w:val="25"/>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在项目开工前，投标方所有人员都应接受安全教育和安全技术交底，以确保其所有员工熟悉各项HSE要求和规定，掌握HSE知识和技能；</w:t>
      </w:r>
    </w:p>
    <w:p>
      <w:pPr>
        <w:pStyle w:val="28"/>
        <w:numPr>
          <w:ilvl w:val="0"/>
          <w:numId w:val="25"/>
        </w:numPr>
        <w:ind w:left="0" w:leftChars="0" w:firstLine="480" w:firstLineChars="200"/>
        <w:rPr>
          <w:rStyle w:val="26"/>
          <w:rFonts w:hint="default" w:ascii="Times New Roman" w:hAnsi="Times New Roman" w:eastAsia="宋体" w:cs="仿宋_GB2312"/>
          <w:sz w:val="24"/>
          <w:szCs w:val="32"/>
          <w:highlight w:val="none"/>
          <w:lang w:val="en-US" w:eastAsia="zh-CN"/>
        </w:rPr>
      </w:pPr>
      <w:r>
        <w:rPr>
          <w:rStyle w:val="26"/>
          <w:rFonts w:hint="eastAsia" w:ascii="Times New Roman" w:hAnsi="Times New Roman" w:eastAsia="宋体" w:cs="仿宋_GB2312"/>
          <w:sz w:val="24"/>
          <w:szCs w:val="32"/>
          <w:highlight w:val="none"/>
          <w:lang w:val="en-GB" w:eastAsia="zh-CN"/>
        </w:rPr>
        <w:t>投标方在工作开始前应对所有人员进行安全风险分析和评估，充分熟悉工作场地的风险及相应的预防和控制措施；</w:t>
      </w:r>
    </w:p>
    <w:p>
      <w:pPr>
        <w:pStyle w:val="28"/>
        <w:numPr>
          <w:ilvl w:val="0"/>
          <w:numId w:val="25"/>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投标方办理作业许可证前应进行JSA分析，并作为附件提交审批；</w:t>
      </w:r>
    </w:p>
    <w:p>
      <w:pPr>
        <w:pStyle w:val="28"/>
        <w:numPr>
          <w:ilvl w:val="0"/>
          <w:numId w:val="25"/>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投标方应加强执行过程环境保护。采取一切合理并且有效的措施，保护工作现场及附近区域的大气、河流、海域和土地的环境。因投标方的原因而导致任何建筑和生活垃圾和其它废物等泄漏或排放，从而造成有关陆地、大气或水域的污染，投标方应自费进行及时、全面、彻底的清理；</w:t>
      </w:r>
    </w:p>
    <w:p>
      <w:pPr>
        <w:pStyle w:val="28"/>
        <w:numPr>
          <w:ilvl w:val="0"/>
          <w:numId w:val="25"/>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投标方应对任何事故及不安全事件立即按要求进行报告，对事故/事件进行调查，并采取预防纠正措施；</w:t>
      </w:r>
    </w:p>
    <w:p>
      <w:pPr>
        <w:pStyle w:val="28"/>
        <w:numPr>
          <w:ilvl w:val="0"/>
          <w:numId w:val="25"/>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不允许安全意识不足的人存在于本项目；</w:t>
      </w:r>
    </w:p>
    <w:p>
      <w:pPr>
        <w:pStyle w:val="28"/>
        <w:numPr>
          <w:ilvl w:val="0"/>
          <w:numId w:val="25"/>
        </w:numPr>
        <w:ind w:left="0" w:leftChars="0" w:firstLine="480" w:firstLineChars="200"/>
        <w:rPr>
          <w:rStyle w:val="26"/>
          <w:rFonts w:hint="eastAsia" w:ascii="Times New Roman" w:hAnsi="Times New Roman" w:eastAsia="宋体" w:cs="仿宋_GB2312"/>
          <w:sz w:val="24"/>
          <w:szCs w:val="32"/>
          <w:highlight w:val="none"/>
          <w:lang w:val="en-GB" w:eastAsia="zh-CN"/>
        </w:rPr>
      </w:pPr>
      <w:r>
        <w:rPr>
          <w:rStyle w:val="26"/>
          <w:rFonts w:hint="eastAsia" w:ascii="Times New Roman" w:hAnsi="Times New Roman" w:eastAsia="宋体" w:cs="仿宋_GB2312"/>
          <w:sz w:val="24"/>
          <w:szCs w:val="32"/>
          <w:highlight w:val="none"/>
          <w:lang w:val="en-GB" w:eastAsia="zh-CN"/>
        </w:rPr>
        <w:t>不允许不遵守安全规章制度的现象存在于本项目。</w:t>
      </w:r>
    </w:p>
    <w:p>
      <w:pPr>
        <w:pStyle w:val="4"/>
        <w:numPr>
          <w:ilvl w:val="2"/>
          <w:numId w:val="0"/>
        </w:numPr>
        <w:bidi w:val="0"/>
        <w:ind w:leftChars="0"/>
        <w:rPr>
          <w:highlight w:val="none"/>
          <w:lang w:val="en-US"/>
        </w:rPr>
      </w:pPr>
      <w:bookmarkStart w:id="171" w:name="_Toc3667"/>
      <w:bookmarkStart w:id="172" w:name="_Toc15656"/>
      <w:bookmarkStart w:id="173" w:name="_Toc9020"/>
      <w:r>
        <w:rPr>
          <w:rFonts w:hint="eastAsia"/>
          <w:highlight w:val="none"/>
          <w:lang w:val="en-US" w:eastAsia="zh-CN"/>
        </w:rPr>
        <w:t>8.2.2、</w:t>
      </w:r>
      <w:r>
        <w:rPr>
          <w:highlight w:val="none"/>
          <w:lang w:val="en-US"/>
        </w:rPr>
        <w:t>HSE管理责任</w:t>
      </w:r>
      <w:bookmarkEnd w:id="171"/>
      <w:bookmarkEnd w:id="172"/>
      <w:bookmarkEnd w:id="173"/>
    </w:p>
    <w:p>
      <w:pPr>
        <w:pStyle w:val="28"/>
        <w:numPr>
          <w:ilvl w:val="0"/>
          <w:numId w:val="0"/>
        </w:numPr>
        <w:ind w:firstLine="480" w:firstLineChars="200"/>
        <w:rPr>
          <w:rFonts w:hint="eastAsia" w:cs="Times New Roman"/>
          <w:kern w:val="2"/>
          <w:sz w:val="24"/>
          <w:szCs w:val="24"/>
          <w:highlight w:val="none"/>
          <w:lang w:val="en-GB" w:eastAsia="zh-CN" w:bidi="ar-SA"/>
        </w:rPr>
      </w:pPr>
      <w:r>
        <w:rPr>
          <w:rFonts w:hint="eastAsia" w:cs="Times New Roman"/>
          <w:kern w:val="2"/>
          <w:sz w:val="24"/>
          <w:szCs w:val="24"/>
          <w:highlight w:val="none"/>
          <w:lang w:val="en-GB" w:eastAsia="zh-CN" w:bidi="ar-SA"/>
        </w:rPr>
        <w:t>建设单位和招标方对项目的健康安全环保工作负有监管责任，有权对监管范围内执行区域的投标方提出明确的安全环保管理要求，并进行监督管理，有权对投标方的作业随时进行监督检查、叫停和处罚。</w:t>
      </w:r>
    </w:p>
    <w:p>
      <w:pPr>
        <w:pStyle w:val="28"/>
        <w:numPr>
          <w:ilvl w:val="0"/>
          <w:numId w:val="0"/>
        </w:numPr>
        <w:ind w:firstLine="480" w:firstLineChars="200"/>
        <w:rPr>
          <w:rFonts w:hint="eastAsia" w:cs="Times New Roman"/>
          <w:kern w:val="2"/>
          <w:sz w:val="24"/>
          <w:szCs w:val="24"/>
          <w:highlight w:val="none"/>
          <w:lang w:val="en-GB" w:eastAsia="zh-CN" w:bidi="ar-SA"/>
        </w:rPr>
      </w:pPr>
      <w:r>
        <w:rPr>
          <w:rFonts w:hint="eastAsia" w:cs="Times New Roman"/>
          <w:kern w:val="2"/>
          <w:sz w:val="24"/>
          <w:szCs w:val="24"/>
          <w:highlight w:val="none"/>
          <w:lang w:val="en-GB" w:eastAsia="zh-CN" w:bidi="ar-SA"/>
        </w:rPr>
        <w:t>建设单位和招标方对本项目HSE管理责任不影响和减轻投标方应负的HSE管理责任和义务。在项目实施过程中，由于投标方原因造成安全隐患和事故，不论建设单位和招标方是否进行管理和批准，都不能因此而免除投标方的HSE管理责任。</w:t>
      </w:r>
    </w:p>
    <w:p>
      <w:pPr>
        <w:pStyle w:val="28"/>
        <w:numPr>
          <w:ilvl w:val="0"/>
          <w:numId w:val="0"/>
        </w:numPr>
        <w:ind w:firstLine="480" w:firstLineChars="200"/>
        <w:rPr>
          <w:rFonts w:hint="eastAsia" w:cs="Times New Roman"/>
          <w:kern w:val="2"/>
          <w:sz w:val="24"/>
          <w:szCs w:val="24"/>
          <w:highlight w:val="none"/>
          <w:lang w:val="en-GB" w:eastAsia="zh-CN" w:bidi="ar-SA"/>
        </w:rPr>
      </w:pPr>
      <w:r>
        <w:rPr>
          <w:rFonts w:hint="eastAsia" w:cs="Times New Roman"/>
          <w:kern w:val="2"/>
          <w:sz w:val="24"/>
          <w:szCs w:val="24"/>
          <w:highlight w:val="none"/>
          <w:lang w:val="en-GB" w:eastAsia="zh-CN" w:bidi="ar-SA"/>
        </w:rPr>
        <w:t>投标方对本合同约定的工作范围内的全部工作的健康、安全、环保负主体责任。投标方应根据</w:t>
      </w:r>
      <w:r>
        <w:rPr>
          <w:rFonts w:hint="eastAsia" w:cs="Times New Roman"/>
          <w:kern w:val="2"/>
          <w:sz w:val="24"/>
          <w:szCs w:val="24"/>
          <w:highlight w:val="none"/>
          <w:lang w:val="en-US" w:eastAsia="zh-CN" w:bidi="ar-SA"/>
        </w:rPr>
        <w:t>建设单位及</w:t>
      </w:r>
      <w:r>
        <w:rPr>
          <w:rFonts w:hint="eastAsia" w:cs="Times New Roman"/>
          <w:kern w:val="2"/>
          <w:sz w:val="24"/>
          <w:szCs w:val="24"/>
          <w:highlight w:val="none"/>
          <w:lang w:val="en-GB" w:eastAsia="zh-CN" w:bidi="ar-SA"/>
        </w:rPr>
        <w:t>本协议的要求履行自己的义务。无论时间、地点、方式和原因关于事故及赔偿责任：</w:t>
      </w:r>
    </w:p>
    <w:p>
      <w:pPr>
        <w:pStyle w:val="28"/>
        <w:numPr>
          <w:ilvl w:val="0"/>
          <w:numId w:val="0"/>
        </w:numPr>
        <w:rPr>
          <w:rFonts w:ascii="Times New Roman" w:hAnsi="Times New Roman" w:eastAsia="宋体" w:cs="仿宋_GB2312"/>
          <w:color w:val="000000" w:themeColor="text1"/>
          <w:sz w:val="24"/>
          <w:szCs w:val="24"/>
          <w:highlight w:val="none"/>
          <w14:textFill>
            <w14:solidFill>
              <w14:schemeClr w14:val="tx1"/>
            </w14:solidFill>
          </w14:textFill>
        </w:rPr>
      </w:pPr>
      <w:r>
        <w:rPr>
          <w:rStyle w:val="26"/>
          <w:rFonts w:hint="eastAsia" w:cs="仿宋_GB2312"/>
          <w:kern w:val="2"/>
          <w:sz w:val="24"/>
          <w:szCs w:val="32"/>
          <w:highlight w:val="none"/>
          <w:lang w:val="en-GB" w:eastAsia="zh-CN" w:bidi="ar-SA"/>
        </w:rPr>
        <w:t>（</w:t>
      </w:r>
      <w:r>
        <w:rPr>
          <w:rStyle w:val="26"/>
          <w:rFonts w:hint="eastAsia" w:cs="仿宋_GB2312"/>
          <w:kern w:val="2"/>
          <w:sz w:val="24"/>
          <w:szCs w:val="32"/>
          <w:highlight w:val="none"/>
          <w:lang w:val="en-US" w:eastAsia="zh-CN" w:bidi="ar-SA"/>
        </w:rPr>
        <w:t>1</w:t>
      </w:r>
      <w:r>
        <w:rPr>
          <w:rStyle w:val="26"/>
          <w:rFonts w:hint="eastAsia" w:cs="仿宋_GB2312"/>
          <w:kern w:val="2"/>
          <w:sz w:val="24"/>
          <w:szCs w:val="32"/>
          <w:highlight w:val="none"/>
          <w:lang w:val="en-GB" w:eastAsia="zh-CN" w:bidi="ar-SA"/>
        </w:rPr>
        <w:t>）</w:t>
      </w:r>
      <w:r>
        <w:rPr>
          <w:rStyle w:val="26"/>
          <w:rFonts w:hint="eastAsia" w:ascii="Times New Roman" w:hAnsi="Times New Roman" w:eastAsia="宋体" w:cs="仿宋_GB2312"/>
          <w:kern w:val="2"/>
          <w:sz w:val="24"/>
          <w:szCs w:val="32"/>
          <w:highlight w:val="none"/>
          <w:lang w:val="en-GB" w:eastAsia="zh-CN" w:bidi="ar-SA"/>
        </w:rPr>
        <w:t>投标方（如有）因自身原因履行本合同造成任何第三方财产损失、损坏、人身伤</w:t>
      </w:r>
      <w:r>
        <w:rPr>
          <w:rFonts w:ascii="Times New Roman" w:hAnsi="Times New Roman" w:eastAsia="宋体" w:cs="仿宋_GB2312"/>
          <w:color w:val="000000" w:themeColor="text1"/>
          <w:sz w:val="24"/>
          <w:szCs w:val="24"/>
          <w:highlight w:val="none"/>
          <w14:textFill>
            <w14:solidFill>
              <w14:schemeClr w14:val="tx1"/>
            </w14:solidFill>
          </w14:textFill>
        </w:rPr>
        <w:t>亡或疾病，</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应承担全部责任，并应确保</w:t>
      </w: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免于所有相关的索赔、损失、损害、费用和责任，包括但不限于在</w:t>
      </w: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因此需向第三方支付任何赔偿时，</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均应全额予以补偿。</w:t>
      </w:r>
    </w:p>
    <w:p>
      <w:pPr>
        <w:ind w:left="0" w:leftChars="0" w:firstLine="0" w:firstLineChars="0"/>
        <w:rPr>
          <w:rFonts w:hint="eastAsia" w:cs="仿宋_GB2312"/>
          <w:color w:val="000000" w:themeColor="text1"/>
          <w:sz w:val="24"/>
          <w:szCs w:val="24"/>
          <w:highlight w:val="none"/>
          <w:lang w:eastAsia="zh-CN"/>
          <w14:textFill>
            <w14:solidFill>
              <w14:schemeClr w14:val="tx1"/>
            </w14:solidFill>
          </w14:textFill>
        </w:rPr>
      </w:pPr>
      <w:r>
        <w:rPr>
          <w:rFonts w:hint="eastAsia" w:cs="仿宋_GB2312"/>
          <w:color w:val="000000" w:themeColor="text1"/>
          <w:sz w:val="24"/>
          <w:szCs w:val="24"/>
          <w:highlight w:val="none"/>
          <w:lang w:eastAsia="zh-CN"/>
          <w14:textFill>
            <w14:solidFill>
              <w14:schemeClr w14:val="tx1"/>
            </w14:solidFill>
          </w14:textFill>
        </w:rPr>
        <w:t>（</w:t>
      </w:r>
      <w:r>
        <w:rPr>
          <w:rFonts w:hint="eastAsia" w:cs="仿宋_GB2312"/>
          <w:color w:val="000000" w:themeColor="text1"/>
          <w:sz w:val="24"/>
          <w:szCs w:val="24"/>
          <w:highlight w:val="none"/>
          <w:lang w:val="en-US" w:eastAsia="zh-CN"/>
          <w14:textFill>
            <w14:solidFill>
              <w14:schemeClr w14:val="tx1"/>
            </w14:solidFill>
          </w14:textFill>
        </w:rPr>
        <w:t>2</w:t>
      </w:r>
      <w:r>
        <w:rPr>
          <w:rFonts w:hint="eastAsia" w:cs="仿宋_GB2312"/>
          <w:color w:val="000000" w:themeColor="text1"/>
          <w:sz w:val="24"/>
          <w:szCs w:val="24"/>
          <w:highlight w:val="none"/>
          <w:lang w:eastAsia="zh-CN"/>
          <w14:textFill>
            <w14:solidFill>
              <w14:schemeClr w14:val="tx1"/>
            </w14:solidFill>
          </w14:textFill>
        </w:rPr>
        <w:t>）如因履行本合同，投标方人员（如有）的任何财产（包括但不限于设备、装置、器材、数据、系统等，且无论该等财产属于自有、租用、租赁或以其它方式提供）发生毁损、灭失或其它损失，投标方应自行承担全部损失，并应确保招标方免于所有相关的索赔、损失、损害、费用和责任。</w:t>
      </w:r>
    </w:p>
    <w:p>
      <w:pPr>
        <w:ind w:left="0" w:leftChars="0" w:firstLine="0" w:firstLineChars="0"/>
        <w:rPr>
          <w:rFonts w:hint="eastAsia" w:cs="仿宋_GB2312"/>
          <w:color w:val="000000" w:themeColor="text1"/>
          <w:sz w:val="24"/>
          <w:szCs w:val="24"/>
          <w:highlight w:val="none"/>
          <w:lang w:eastAsia="zh-CN"/>
          <w14:textFill>
            <w14:solidFill>
              <w14:schemeClr w14:val="tx1"/>
            </w14:solidFill>
          </w14:textFill>
        </w:rPr>
      </w:pPr>
      <w:r>
        <w:rPr>
          <w:rFonts w:hint="eastAsia" w:cs="仿宋_GB2312"/>
          <w:color w:val="000000" w:themeColor="text1"/>
          <w:sz w:val="24"/>
          <w:szCs w:val="24"/>
          <w:highlight w:val="none"/>
          <w:lang w:eastAsia="zh-CN"/>
          <w14:textFill>
            <w14:solidFill>
              <w14:schemeClr w14:val="tx1"/>
            </w14:solidFill>
          </w14:textFill>
        </w:rPr>
        <w:t>（</w:t>
      </w:r>
      <w:r>
        <w:rPr>
          <w:rFonts w:hint="eastAsia" w:cs="仿宋_GB2312"/>
          <w:color w:val="000000" w:themeColor="text1"/>
          <w:sz w:val="24"/>
          <w:szCs w:val="24"/>
          <w:highlight w:val="none"/>
          <w:lang w:val="en-US" w:eastAsia="zh-CN"/>
          <w14:textFill>
            <w14:solidFill>
              <w14:schemeClr w14:val="tx1"/>
            </w14:solidFill>
          </w14:textFill>
        </w:rPr>
        <w:t>3</w:t>
      </w:r>
      <w:r>
        <w:rPr>
          <w:rFonts w:hint="eastAsia" w:cs="仿宋_GB2312"/>
          <w:color w:val="000000" w:themeColor="text1"/>
          <w:sz w:val="24"/>
          <w:szCs w:val="24"/>
          <w:highlight w:val="none"/>
          <w:lang w:eastAsia="zh-CN"/>
          <w14:textFill>
            <w14:solidFill>
              <w14:schemeClr w14:val="tx1"/>
            </w14:solidFill>
          </w14:textFill>
        </w:rPr>
        <w:t>）如因履行本合同而发生的或与履行本合同有关的投标方的人员发生人身伤亡或疾病，投标方应对上述人员的人身伤亡或疾病负责，并确保招标方免于所有相关的索赔、损失、损害、费用和责任，包括但不限于招标方因此需要支付任何赔偿时，投标方均应全额予以补偿。</w:t>
      </w:r>
    </w:p>
    <w:p>
      <w:pPr>
        <w:ind w:left="0" w:leftChars="0" w:firstLine="0" w:firstLineChars="0"/>
        <w:rPr>
          <w:rFonts w:hint="eastAsia" w:cs="仿宋_GB2312"/>
          <w:color w:val="000000" w:themeColor="text1"/>
          <w:sz w:val="24"/>
          <w:szCs w:val="24"/>
          <w:highlight w:val="none"/>
          <w:lang w:eastAsia="zh-CN"/>
          <w14:textFill>
            <w14:solidFill>
              <w14:schemeClr w14:val="tx1"/>
            </w14:solidFill>
          </w14:textFill>
        </w:rPr>
      </w:pPr>
      <w:r>
        <w:rPr>
          <w:rFonts w:hint="eastAsia" w:cs="仿宋_GB2312"/>
          <w:color w:val="000000" w:themeColor="text1"/>
          <w:sz w:val="24"/>
          <w:szCs w:val="24"/>
          <w:highlight w:val="none"/>
          <w:lang w:eastAsia="zh-CN"/>
          <w14:textFill>
            <w14:solidFill>
              <w14:schemeClr w14:val="tx1"/>
            </w14:solidFill>
          </w14:textFill>
        </w:rPr>
        <w:t>（</w:t>
      </w:r>
      <w:r>
        <w:rPr>
          <w:rFonts w:hint="eastAsia" w:cs="仿宋_GB2312"/>
          <w:color w:val="000000" w:themeColor="text1"/>
          <w:sz w:val="24"/>
          <w:szCs w:val="24"/>
          <w:highlight w:val="none"/>
          <w:lang w:val="en-US" w:eastAsia="zh-CN"/>
          <w14:textFill>
            <w14:solidFill>
              <w14:schemeClr w14:val="tx1"/>
            </w14:solidFill>
          </w14:textFill>
        </w:rPr>
        <w:t>4</w:t>
      </w:r>
      <w:r>
        <w:rPr>
          <w:rFonts w:hint="eastAsia" w:cs="仿宋_GB2312"/>
          <w:color w:val="000000" w:themeColor="text1"/>
          <w:sz w:val="24"/>
          <w:szCs w:val="24"/>
          <w:highlight w:val="none"/>
          <w:lang w:eastAsia="zh-CN"/>
          <w14:textFill>
            <w14:solidFill>
              <w14:schemeClr w14:val="tx1"/>
            </w14:solidFill>
          </w14:textFill>
        </w:rPr>
        <w:t>）如因履行本合同而发生由投标方和/或其雇用人员造成的责任事故，处理如下：</w:t>
      </w:r>
    </w:p>
    <w:p>
      <w:pPr>
        <w:ind w:firstLine="420"/>
        <w:rPr>
          <w:rStyle w:val="26"/>
          <w:rFonts w:hint="eastAsia" w:ascii="Times New Roman" w:hAnsi="Times New Roman" w:eastAsia="宋体" w:cs="仿宋_GB2312"/>
          <w:kern w:val="2"/>
          <w:sz w:val="24"/>
          <w:szCs w:val="32"/>
          <w:highlight w:val="none"/>
          <w:lang w:val="fr-FR" w:eastAsia="zh-CN" w:bidi="ar-SA"/>
        </w:rPr>
      </w:pPr>
      <w:r>
        <w:rPr>
          <w:rStyle w:val="26"/>
          <w:rFonts w:hint="eastAsia" w:ascii="Times New Roman" w:hAnsi="Times New Roman" w:eastAsia="宋体" w:cs="仿宋_GB2312"/>
          <w:kern w:val="2"/>
          <w:sz w:val="24"/>
          <w:szCs w:val="32"/>
          <w:highlight w:val="none"/>
          <w:lang w:val="fr-FR" w:eastAsia="zh-CN" w:bidi="ar-SA"/>
        </w:rPr>
        <w:t>①　HSE事故累计积分</w:t>
      </w:r>
    </w:p>
    <w:p>
      <w:pPr>
        <w:ind w:firstLine="420"/>
        <w:rPr>
          <w:rFonts w:ascii="Times New Roman" w:hAnsi="Times New Roman" w:eastAsia="宋体" w:cs="仿宋_GB2312"/>
          <w:color w:val="000000" w:themeColor="text1"/>
          <w:sz w:val="24"/>
          <w:szCs w:val="24"/>
          <w:highlight w:val="none"/>
          <w14:textFill>
            <w14:solidFill>
              <w14:schemeClr w14:val="tx1"/>
            </w14:solidFill>
          </w14:textFill>
        </w:rPr>
      </w:pPr>
      <w:r>
        <w:rPr>
          <w:rFonts w:ascii="Times New Roman" w:hAnsi="Times New Roman" w:eastAsia="宋体" w:cs="仿宋_GB2312"/>
          <w:color w:val="000000" w:themeColor="text1"/>
          <w:sz w:val="24"/>
          <w:szCs w:val="24"/>
          <w:highlight w:val="none"/>
          <w14:textFill>
            <w14:solidFill>
              <w14:schemeClr w14:val="tx1"/>
            </w14:solidFill>
          </w14:textFill>
        </w:rPr>
        <w:t>在执行期间，如发生HSE责任事故，依据事故调查结论，参照《中国海油承包商安全环保责任事故累计积分暂行办法》对</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进行累积记分和考核，事故级别的划分依据</w:t>
      </w: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《HSE事故事件管理办法》（QHSE-02-04）。记分规则如下：</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rPr>
      </w:pPr>
      <w:r>
        <w:rPr>
          <w:rStyle w:val="26"/>
          <w:rFonts w:hint="eastAsia" w:ascii="Times New Roman" w:hAnsi="Times New Roman" w:eastAsia="宋体" w:cs="仿宋_GB2312"/>
          <w:sz w:val="24"/>
          <w:szCs w:val="32"/>
          <w:highlight w:val="none"/>
          <w:lang w:val="fr-FR"/>
        </w:rPr>
        <w:t>发生第1次D级责任事故记1分，第2次D级责任事故记2分；</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rPr>
      </w:pPr>
      <w:r>
        <w:rPr>
          <w:rStyle w:val="26"/>
          <w:rFonts w:hint="eastAsia" w:ascii="Times New Roman" w:hAnsi="Times New Roman" w:eastAsia="宋体" w:cs="仿宋_GB2312"/>
          <w:sz w:val="24"/>
          <w:szCs w:val="32"/>
          <w:highlight w:val="none"/>
          <w:lang w:val="fr-FR"/>
        </w:rPr>
        <w:t>发生第1次C级责任事故记2分，第2次C级责任事故记3分；</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rPr>
      </w:pPr>
      <w:r>
        <w:rPr>
          <w:rStyle w:val="26"/>
          <w:rFonts w:hint="eastAsia" w:ascii="Times New Roman" w:hAnsi="Times New Roman" w:eastAsia="宋体" w:cs="仿宋_GB2312"/>
          <w:sz w:val="24"/>
          <w:szCs w:val="32"/>
          <w:highlight w:val="none"/>
          <w:lang w:val="fr-FR"/>
        </w:rPr>
        <w:t>累计发生3次D级或C级责任事故按相当于1次B级责任事故记4分；</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rPr>
      </w:pPr>
      <w:r>
        <w:rPr>
          <w:rStyle w:val="26"/>
          <w:rFonts w:hint="eastAsia" w:ascii="Times New Roman" w:hAnsi="Times New Roman" w:eastAsia="宋体" w:cs="仿宋_GB2312"/>
          <w:sz w:val="24"/>
          <w:szCs w:val="32"/>
          <w:highlight w:val="none"/>
          <w:lang w:val="fr-FR"/>
        </w:rPr>
        <w:t>发生1次B级责任事故记4分；</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rPr>
      </w:pPr>
      <w:r>
        <w:rPr>
          <w:rStyle w:val="26"/>
          <w:rFonts w:hint="eastAsia" w:ascii="Times New Roman" w:hAnsi="Times New Roman" w:eastAsia="宋体" w:cs="仿宋_GB2312"/>
          <w:sz w:val="24"/>
          <w:szCs w:val="32"/>
          <w:highlight w:val="none"/>
          <w:lang w:val="fr-FR"/>
        </w:rPr>
        <w:t>发生1次A级责任事故记9分；</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rPr>
      </w:pPr>
      <w:r>
        <w:rPr>
          <w:rStyle w:val="26"/>
          <w:rFonts w:hint="eastAsia" w:ascii="Times New Roman" w:hAnsi="Times New Roman" w:eastAsia="宋体" w:cs="仿宋_GB2312"/>
          <w:sz w:val="24"/>
          <w:szCs w:val="32"/>
          <w:highlight w:val="none"/>
          <w:lang w:val="fr-FR"/>
        </w:rPr>
        <w:t>因投标方原因给招标方造成负面影响的其它事件（包括政府通报/罚款、社会稳定、负面舆情等），根据事件社会影响程度对应的责任事故级别记分</w:t>
      </w:r>
      <w:r>
        <w:rPr>
          <w:rStyle w:val="26"/>
          <w:rFonts w:hint="eastAsia" w:cs="仿宋_GB2312"/>
          <w:sz w:val="24"/>
          <w:szCs w:val="32"/>
          <w:highlight w:val="none"/>
          <w:lang w:val="fr-FR" w:eastAsia="zh-CN"/>
        </w:rPr>
        <w:t>；</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rPr>
      </w:pPr>
      <w:r>
        <w:rPr>
          <w:rStyle w:val="26"/>
          <w:rFonts w:hint="eastAsia" w:ascii="Times New Roman" w:hAnsi="Times New Roman" w:eastAsia="宋体" w:cs="仿宋_GB2312"/>
          <w:sz w:val="24"/>
          <w:szCs w:val="32"/>
          <w:highlight w:val="none"/>
          <w:lang w:val="fr-FR"/>
        </w:rPr>
        <w:t>投标方在执行期间累计记分满6分时，在HSE完工考核评定等级为“不合格”。累计记分满4分时，HSE完工考核评定最高等级为“合格”。</w:t>
      </w:r>
    </w:p>
    <w:p>
      <w:pPr>
        <w:ind w:firstLine="420"/>
        <w:rPr>
          <w:rFonts w:ascii="Times New Roman" w:hAnsi="Times New Roman" w:eastAsia="宋体" w:cs="仿宋_GB2312"/>
          <w:color w:val="000000" w:themeColor="text1"/>
          <w:sz w:val="24"/>
          <w:szCs w:val="24"/>
          <w:highlight w:val="none"/>
          <w14:textFill>
            <w14:solidFill>
              <w14:schemeClr w14:val="tx1"/>
            </w14:solidFill>
          </w14:textFill>
        </w:rPr>
      </w:pPr>
      <w:r>
        <w:rPr>
          <w:rStyle w:val="26"/>
          <w:rFonts w:hint="eastAsia" w:ascii="Times New Roman" w:hAnsi="Times New Roman" w:eastAsia="宋体" w:cs="仿宋_GB2312"/>
          <w:kern w:val="2"/>
          <w:sz w:val="24"/>
          <w:szCs w:val="32"/>
          <w:highlight w:val="none"/>
          <w:lang w:val="fr-FR" w:eastAsia="zh-CN" w:bidi="ar-SA"/>
        </w:rPr>
        <w:t>②　招标方将投标方完工HSE考核结果及评价报告汇同对投标方其它考核资料上</w:t>
      </w:r>
      <w:r>
        <w:rPr>
          <w:rFonts w:ascii="Times New Roman" w:hAnsi="Times New Roman" w:eastAsia="宋体" w:cs="仿宋_GB2312"/>
          <w:color w:val="000000" w:themeColor="text1"/>
          <w:sz w:val="24"/>
          <w:szCs w:val="24"/>
          <w:highlight w:val="none"/>
          <w14:textFill>
            <w14:solidFill>
              <w14:schemeClr w14:val="tx1"/>
            </w14:solidFill>
          </w14:textFill>
        </w:rPr>
        <w:t>报</w:t>
      </w: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上级公司，由</w:t>
      </w: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上级公司按程序对</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采取表彰、调整承包商人考核等级、警告、取消投标资格、长期禁用等奖惩措施。</w:t>
      </w:r>
    </w:p>
    <w:p>
      <w:pPr>
        <w:ind w:firstLine="420"/>
        <w:rPr>
          <w:rStyle w:val="26"/>
          <w:rFonts w:hint="eastAsia" w:ascii="Times New Roman" w:hAnsi="Times New Roman" w:eastAsia="宋体" w:cs="仿宋_GB2312"/>
          <w:kern w:val="2"/>
          <w:sz w:val="24"/>
          <w:szCs w:val="32"/>
          <w:highlight w:val="none"/>
          <w:lang w:val="fr-FR" w:eastAsia="zh-CN" w:bidi="ar-SA"/>
        </w:rPr>
      </w:pPr>
      <w:r>
        <w:rPr>
          <w:rStyle w:val="26"/>
          <w:rFonts w:hint="eastAsia" w:ascii="Times New Roman" w:hAnsi="Times New Roman" w:eastAsia="宋体" w:cs="仿宋_GB2312"/>
          <w:kern w:val="2"/>
          <w:sz w:val="24"/>
          <w:szCs w:val="32"/>
          <w:highlight w:val="none"/>
          <w:lang w:val="fr-FR" w:eastAsia="zh-CN" w:bidi="ar-SA"/>
        </w:rPr>
        <w:t>③　投标方责任事故违约处罚标准</w:t>
      </w:r>
      <w:r>
        <w:rPr>
          <w:rStyle w:val="26"/>
          <w:rFonts w:hint="eastAsia" w:cs="仿宋_GB2312"/>
          <w:kern w:val="2"/>
          <w:sz w:val="24"/>
          <w:szCs w:val="32"/>
          <w:highlight w:val="none"/>
          <w:lang w:val="fr-FR" w:eastAsia="zh-CN" w:bidi="ar-SA"/>
        </w:rPr>
        <w:t>：</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eastAsia="zh-CN"/>
        </w:rPr>
      </w:pPr>
      <w:r>
        <w:rPr>
          <w:rStyle w:val="26"/>
          <w:rFonts w:hint="eastAsia" w:cs="仿宋_GB2312"/>
          <w:sz w:val="24"/>
          <w:szCs w:val="32"/>
          <w:highlight w:val="none"/>
          <w:lang w:val="fr-FR" w:eastAsia="zh-CN"/>
        </w:rPr>
        <w:t>未经</w:t>
      </w:r>
      <w:r>
        <w:rPr>
          <w:rStyle w:val="26"/>
          <w:rFonts w:hint="eastAsia" w:cs="仿宋_GB2312"/>
          <w:sz w:val="24"/>
          <w:szCs w:val="32"/>
          <w:highlight w:val="none"/>
          <w:lang w:val="en-US" w:eastAsia="zh-CN"/>
        </w:rPr>
        <w:t>建设单位及招标方HSE部</w:t>
      </w:r>
      <w:r>
        <w:rPr>
          <w:rStyle w:val="26"/>
          <w:rFonts w:hint="eastAsia" w:cs="仿宋_GB2312"/>
          <w:sz w:val="24"/>
          <w:szCs w:val="32"/>
          <w:highlight w:val="none"/>
          <w:lang w:val="fr-FR" w:eastAsia="zh-CN"/>
        </w:rPr>
        <w:t>同意，</w:t>
      </w:r>
      <w:r>
        <w:rPr>
          <w:rStyle w:val="26"/>
          <w:rFonts w:hint="eastAsia" w:cs="仿宋_GB2312"/>
          <w:sz w:val="24"/>
          <w:szCs w:val="32"/>
          <w:highlight w:val="none"/>
          <w:lang w:val="en-US" w:eastAsia="zh-CN"/>
        </w:rPr>
        <w:t>投标</w:t>
      </w:r>
      <w:r>
        <w:rPr>
          <w:rStyle w:val="26"/>
          <w:rFonts w:hint="eastAsia" w:cs="仿宋_GB2312"/>
          <w:sz w:val="24"/>
          <w:szCs w:val="32"/>
          <w:highlight w:val="none"/>
          <w:lang w:val="fr-FR" w:eastAsia="zh-CN"/>
        </w:rPr>
        <w:t>方不得更换已批准的专职HSE管理人员；对于</w:t>
      </w:r>
      <w:r>
        <w:rPr>
          <w:rStyle w:val="26"/>
          <w:rFonts w:hint="eastAsia" w:cs="仿宋_GB2312"/>
          <w:sz w:val="24"/>
          <w:szCs w:val="32"/>
          <w:highlight w:val="none"/>
          <w:lang w:val="en-US" w:eastAsia="zh-CN"/>
        </w:rPr>
        <w:t>建设单位及招标方</w:t>
      </w:r>
      <w:r>
        <w:rPr>
          <w:rStyle w:val="26"/>
          <w:rFonts w:hint="eastAsia" w:cs="仿宋_GB2312"/>
          <w:sz w:val="24"/>
          <w:szCs w:val="32"/>
          <w:highlight w:val="none"/>
          <w:lang w:val="fr-FR" w:eastAsia="zh-CN"/>
        </w:rPr>
        <w:t>认为不称职的HSE管理人员，</w:t>
      </w:r>
      <w:r>
        <w:rPr>
          <w:rStyle w:val="26"/>
          <w:rFonts w:hint="eastAsia" w:cs="仿宋_GB2312"/>
          <w:sz w:val="24"/>
          <w:szCs w:val="32"/>
          <w:highlight w:val="none"/>
          <w:lang w:val="en-US" w:eastAsia="zh-CN"/>
        </w:rPr>
        <w:t>投标方</w:t>
      </w:r>
      <w:r>
        <w:rPr>
          <w:rStyle w:val="26"/>
          <w:rFonts w:hint="eastAsia" w:cs="仿宋_GB2312"/>
          <w:sz w:val="24"/>
          <w:szCs w:val="32"/>
          <w:highlight w:val="none"/>
          <w:lang w:val="fr-FR" w:eastAsia="zh-CN"/>
        </w:rPr>
        <w:t>必须无条件更换，新更换的HSE管理人员须在 10个工作日内经</w:t>
      </w:r>
      <w:r>
        <w:rPr>
          <w:rStyle w:val="26"/>
          <w:rFonts w:hint="eastAsia" w:cs="仿宋_GB2312"/>
          <w:sz w:val="24"/>
          <w:szCs w:val="32"/>
          <w:highlight w:val="none"/>
          <w:lang w:val="en-US" w:eastAsia="zh-CN"/>
        </w:rPr>
        <w:t>建设单位及招标方</w:t>
      </w:r>
      <w:r>
        <w:rPr>
          <w:rStyle w:val="26"/>
          <w:rFonts w:hint="eastAsia" w:cs="仿宋_GB2312"/>
          <w:sz w:val="24"/>
          <w:szCs w:val="32"/>
          <w:highlight w:val="none"/>
          <w:lang w:val="fr-FR" w:eastAsia="zh-CN"/>
        </w:rPr>
        <w:t>面试合格后到岗；面试不合格的，</w:t>
      </w:r>
      <w:r>
        <w:rPr>
          <w:rStyle w:val="26"/>
          <w:rFonts w:hint="eastAsia" w:cs="仿宋_GB2312"/>
          <w:sz w:val="24"/>
          <w:szCs w:val="32"/>
          <w:highlight w:val="none"/>
          <w:lang w:val="en-US" w:eastAsia="zh-CN"/>
        </w:rPr>
        <w:t>投标方</w:t>
      </w:r>
      <w:r>
        <w:rPr>
          <w:rStyle w:val="26"/>
          <w:rFonts w:hint="eastAsia" w:cs="仿宋_GB2312"/>
          <w:sz w:val="24"/>
          <w:szCs w:val="32"/>
          <w:highlight w:val="none"/>
          <w:lang w:val="fr-FR" w:eastAsia="zh-CN"/>
        </w:rPr>
        <w:t>须重新更换，并在7个工作日内经</w:t>
      </w:r>
      <w:r>
        <w:rPr>
          <w:rStyle w:val="26"/>
          <w:rFonts w:hint="eastAsia" w:cs="仿宋_GB2312"/>
          <w:sz w:val="24"/>
          <w:szCs w:val="32"/>
          <w:highlight w:val="none"/>
          <w:lang w:val="en-US" w:eastAsia="zh-CN"/>
        </w:rPr>
        <w:t>建设单位及招标方</w:t>
      </w:r>
      <w:r>
        <w:rPr>
          <w:rStyle w:val="26"/>
          <w:rFonts w:hint="eastAsia" w:cs="仿宋_GB2312"/>
          <w:sz w:val="24"/>
          <w:szCs w:val="32"/>
          <w:highlight w:val="none"/>
          <w:lang w:val="fr-FR" w:eastAsia="zh-CN"/>
        </w:rPr>
        <w:t>确认合格后到岗。对</w:t>
      </w:r>
      <w:r>
        <w:rPr>
          <w:rStyle w:val="26"/>
          <w:rFonts w:hint="eastAsia" w:cs="仿宋_GB2312"/>
          <w:sz w:val="24"/>
          <w:szCs w:val="32"/>
          <w:highlight w:val="none"/>
          <w:lang w:val="en-US" w:eastAsia="zh-CN"/>
        </w:rPr>
        <w:t>投标方</w:t>
      </w:r>
      <w:r>
        <w:rPr>
          <w:rStyle w:val="26"/>
          <w:rFonts w:hint="eastAsia" w:cs="仿宋_GB2312"/>
          <w:sz w:val="24"/>
          <w:szCs w:val="32"/>
          <w:highlight w:val="none"/>
          <w:lang w:val="fr-FR" w:eastAsia="zh-CN"/>
        </w:rPr>
        <w:t>不按规定时间组织更换合格人员到岗履行合同的，</w:t>
      </w:r>
      <w:r>
        <w:rPr>
          <w:rStyle w:val="26"/>
          <w:rFonts w:hint="eastAsia" w:cs="仿宋_GB2312"/>
          <w:sz w:val="24"/>
          <w:szCs w:val="32"/>
          <w:highlight w:val="none"/>
          <w:lang w:val="en-US" w:eastAsia="zh-CN"/>
        </w:rPr>
        <w:t>招标方</w:t>
      </w:r>
      <w:r>
        <w:rPr>
          <w:rStyle w:val="26"/>
          <w:rFonts w:hint="eastAsia" w:cs="仿宋_GB2312"/>
          <w:sz w:val="24"/>
          <w:szCs w:val="32"/>
          <w:highlight w:val="none"/>
          <w:lang w:val="fr-FR" w:eastAsia="zh-CN"/>
        </w:rPr>
        <w:t>按照上述人员的数量和空岗时间，按照人民币3</w:t>
      </w:r>
      <w:r>
        <w:rPr>
          <w:rStyle w:val="26"/>
          <w:rFonts w:hint="eastAsia" w:cs="仿宋_GB2312"/>
          <w:sz w:val="24"/>
          <w:szCs w:val="32"/>
          <w:highlight w:val="none"/>
          <w:lang w:val="en-US" w:eastAsia="zh-CN"/>
        </w:rPr>
        <w:t>5</w:t>
      </w:r>
      <w:r>
        <w:rPr>
          <w:rStyle w:val="26"/>
          <w:rFonts w:hint="eastAsia" w:cs="仿宋_GB2312"/>
          <w:sz w:val="24"/>
          <w:szCs w:val="32"/>
          <w:highlight w:val="none"/>
          <w:lang w:val="fr-FR" w:eastAsia="zh-CN"/>
        </w:rPr>
        <w:t>00元/人·日的标准对</w:t>
      </w:r>
      <w:r>
        <w:rPr>
          <w:rStyle w:val="26"/>
          <w:rFonts w:hint="eastAsia" w:cs="仿宋_GB2312"/>
          <w:sz w:val="24"/>
          <w:szCs w:val="32"/>
          <w:highlight w:val="none"/>
          <w:lang w:val="en-US" w:eastAsia="zh-CN"/>
        </w:rPr>
        <w:t>投标方</w:t>
      </w:r>
      <w:r>
        <w:rPr>
          <w:rStyle w:val="26"/>
          <w:rFonts w:hint="eastAsia" w:cs="仿宋_GB2312"/>
          <w:sz w:val="24"/>
          <w:szCs w:val="32"/>
          <w:highlight w:val="none"/>
          <w:lang w:val="fr-FR" w:eastAsia="zh-CN"/>
        </w:rPr>
        <w:t>方处以扣款，款额从工程款中扣除；</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eastAsia="zh-CN"/>
        </w:rPr>
        <w:sectPr>
          <w:footerReference r:id="rId10" w:type="default"/>
          <w:pgSz w:w="11906" w:h="16838"/>
          <w:pgMar w:top="1587" w:right="1417" w:bottom="1020" w:left="1417" w:header="851" w:footer="992" w:gutter="0"/>
          <w:pgNumType w:fmt="decimal" w:start="1"/>
          <w:cols w:space="425" w:num="1"/>
          <w:docGrid w:type="lines" w:linePitch="312" w:charSpace="0"/>
        </w:sectPr>
      </w:pPr>
      <w:r>
        <w:rPr>
          <w:rStyle w:val="26"/>
          <w:rFonts w:hint="eastAsia" w:cs="仿宋_GB2312"/>
          <w:sz w:val="24"/>
          <w:szCs w:val="32"/>
          <w:highlight w:val="none"/>
          <w:lang w:val="fr-FR" w:eastAsia="zh-CN"/>
        </w:rPr>
        <w:t>投标方</w:t>
      </w:r>
      <w:r>
        <w:rPr>
          <w:rStyle w:val="26"/>
          <w:rFonts w:hint="eastAsia" w:ascii="Times New Roman" w:hAnsi="Times New Roman" w:eastAsia="宋体" w:cs="仿宋_GB2312"/>
          <w:sz w:val="24"/>
          <w:szCs w:val="32"/>
          <w:highlight w:val="none"/>
          <w:lang w:val="fr-FR" w:eastAsia="zh-CN"/>
        </w:rPr>
        <w:t>每30-50名作业人员需配备1名专职安全监督（现场安全员），安全监督必须具备相应的安全技能、安全知识和工作责任感，经过</w:t>
      </w:r>
      <w:r>
        <w:rPr>
          <w:rStyle w:val="26"/>
          <w:rFonts w:hint="eastAsia" w:cs="仿宋_GB2312"/>
          <w:sz w:val="24"/>
          <w:szCs w:val="32"/>
          <w:highlight w:val="none"/>
          <w:lang w:val="en-US" w:eastAsia="zh-CN"/>
        </w:rPr>
        <w:t>建设单位及招标方</w:t>
      </w:r>
      <w:r>
        <w:rPr>
          <w:rStyle w:val="26"/>
          <w:rFonts w:hint="eastAsia" w:ascii="Times New Roman" w:hAnsi="Times New Roman" w:eastAsia="宋体" w:cs="仿宋_GB2312"/>
          <w:sz w:val="24"/>
          <w:szCs w:val="32"/>
          <w:highlight w:val="none"/>
          <w:lang w:val="fr-FR" w:eastAsia="zh-CN"/>
        </w:rPr>
        <w:t>培训考试合格后上岗。不足50人的至少配备1名安全监督。</w:t>
      </w:r>
      <w:r>
        <w:rPr>
          <w:rStyle w:val="26"/>
          <w:rFonts w:hint="eastAsia" w:cs="仿宋_GB2312"/>
          <w:sz w:val="24"/>
          <w:szCs w:val="32"/>
          <w:highlight w:val="none"/>
          <w:lang w:val="en-US" w:eastAsia="zh-CN"/>
        </w:rPr>
        <w:t>招标方</w:t>
      </w:r>
      <w:r>
        <w:rPr>
          <w:rStyle w:val="26"/>
          <w:rFonts w:hint="eastAsia" w:ascii="Times New Roman" w:hAnsi="Times New Roman" w:eastAsia="宋体" w:cs="仿宋_GB2312"/>
          <w:sz w:val="24"/>
          <w:szCs w:val="32"/>
          <w:highlight w:val="none"/>
          <w:lang w:val="fr-FR" w:eastAsia="zh-CN"/>
        </w:rPr>
        <w:t>认为不称职的安全监督，</w:t>
      </w:r>
      <w:r>
        <w:rPr>
          <w:rStyle w:val="26"/>
          <w:rFonts w:hint="eastAsia" w:cs="仿宋_GB2312"/>
          <w:sz w:val="24"/>
          <w:szCs w:val="32"/>
          <w:highlight w:val="none"/>
          <w:lang w:val="fr-FR" w:eastAsia="zh-CN"/>
        </w:rPr>
        <w:t>投标方</w:t>
      </w:r>
      <w:r>
        <w:rPr>
          <w:rStyle w:val="26"/>
          <w:rFonts w:hint="eastAsia" w:ascii="Times New Roman" w:hAnsi="Times New Roman" w:eastAsia="宋体" w:cs="仿宋_GB2312"/>
          <w:sz w:val="24"/>
          <w:szCs w:val="32"/>
          <w:highlight w:val="none"/>
          <w:lang w:val="fr-FR" w:eastAsia="zh-CN"/>
        </w:rPr>
        <w:t>必须无条件更换。对</w:t>
      </w:r>
      <w:r>
        <w:rPr>
          <w:rStyle w:val="26"/>
          <w:rFonts w:hint="eastAsia" w:cs="仿宋_GB2312"/>
          <w:sz w:val="24"/>
          <w:szCs w:val="32"/>
          <w:highlight w:val="none"/>
          <w:lang w:val="fr-FR" w:eastAsia="zh-CN"/>
        </w:rPr>
        <w:t>投标方</w:t>
      </w:r>
      <w:r>
        <w:rPr>
          <w:rStyle w:val="26"/>
          <w:rFonts w:hint="eastAsia" w:ascii="Times New Roman" w:hAnsi="Times New Roman" w:eastAsia="宋体" w:cs="仿宋_GB2312"/>
          <w:sz w:val="24"/>
          <w:szCs w:val="32"/>
          <w:highlight w:val="none"/>
          <w:lang w:val="fr-FR" w:eastAsia="zh-CN"/>
        </w:rPr>
        <w:t>安全监督达不到要求数量的，</w:t>
      </w:r>
      <w:r>
        <w:rPr>
          <w:rStyle w:val="26"/>
          <w:rFonts w:hint="eastAsia" w:cs="仿宋_GB2312"/>
          <w:sz w:val="24"/>
          <w:szCs w:val="32"/>
          <w:highlight w:val="none"/>
          <w:lang w:val="en-US" w:eastAsia="zh-CN"/>
        </w:rPr>
        <w:t>招标方</w:t>
      </w:r>
      <w:r>
        <w:rPr>
          <w:rStyle w:val="26"/>
          <w:rFonts w:hint="eastAsia" w:ascii="Times New Roman" w:hAnsi="Times New Roman" w:eastAsia="宋体" w:cs="仿宋_GB2312"/>
          <w:sz w:val="24"/>
          <w:szCs w:val="32"/>
          <w:highlight w:val="none"/>
          <w:lang w:val="fr-FR" w:eastAsia="zh-CN"/>
        </w:rPr>
        <w:t>按照空缺的人员数</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eastAsia="zh-CN"/>
        </w:rPr>
      </w:pPr>
      <w:r>
        <w:rPr>
          <w:rStyle w:val="26"/>
          <w:rFonts w:hint="eastAsia" w:ascii="Times New Roman" w:hAnsi="Times New Roman" w:eastAsia="宋体" w:cs="仿宋_GB2312"/>
          <w:sz w:val="24"/>
          <w:szCs w:val="32"/>
          <w:highlight w:val="none"/>
          <w:lang w:val="fr-FR" w:eastAsia="zh-CN"/>
        </w:rPr>
        <w:t>量和空岗时间，按照人民币500元/人·日的标准对</w:t>
      </w:r>
      <w:r>
        <w:rPr>
          <w:rStyle w:val="26"/>
          <w:rFonts w:hint="eastAsia" w:cs="仿宋_GB2312"/>
          <w:sz w:val="24"/>
          <w:szCs w:val="32"/>
          <w:highlight w:val="none"/>
          <w:lang w:val="fr-FR" w:eastAsia="zh-CN"/>
        </w:rPr>
        <w:t>投标方</w:t>
      </w:r>
      <w:r>
        <w:rPr>
          <w:rStyle w:val="26"/>
          <w:rFonts w:hint="eastAsia" w:ascii="Times New Roman" w:hAnsi="Times New Roman" w:eastAsia="宋体" w:cs="仿宋_GB2312"/>
          <w:sz w:val="24"/>
          <w:szCs w:val="32"/>
          <w:highlight w:val="none"/>
          <w:lang w:val="fr-FR" w:eastAsia="zh-CN"/>
        </w:rPr>
        <w:t>处以扣款，款额从工程款中扣除。</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eastAsia="zh-CN"/>
        </w:rPr>
      </w:pPr>
      <w:r>
        <w:rPr>
          <w:rStyle w:val="26"/>
          <w:rFonts w:hint="eastAsia" w:cs="仿宋_GB2312"/>
          <w:sz w:val="24"/>
          <w:szCs w:val="32"/>
          <w:highlight w:val="none"/>
          <w:lang w:val="fr-FR" w:eastAsia="zh-CN"/>
        </w:rPr>
        <w:t>投标方</w:t>
      </w:r>
      <w:r>
        <w:rPr>
          <w:rStyle w:val="26"/>
          <w:rFonts w:hint="eastAsia" w:ascii="Times New Roman" w:hAnsi="Times New Roman" w:eastAsia="宋体" w:cs="仿宋_GB2312"/>
          <w:sz w:val="24"/>
          <w:szCs w:val="32"/>
          <w:highlight w:val="none"/>
          <w:lang w:val="fr-FR" w:eastAsia="zh-CN"/>
        </w:rPr>
        <w:t>HSE管理人员未经</w:t>
      </w:r>
      <w:r>
        <w:rPr>
          <w:rStyle w:val="26"/>
          <w:rFonts w:hint="eastAsia" w:cs="仿宋_GB2312"/>
          <w:sz w:val="24"/>
          <w:szCs w:val="32"/>
          <w:highlight w:val="none"/>
          <w:lang w:val="en-US" w:eastAsia="zh-CN"/>
        </w:rPr>
        <w:t>招标方</w:t>
      </w:r>
      <w:r>
        <w:rPr>
          <w:rStyle w:val="26"/>
          <w:rFonts w:hint="eastAsia" w:ascii="Times New Roman" w:hAnsi="Times New Roman" w:eastAsia="宋体" w:cs="仿宋_GB2312"/>
          <w:sz w:val="24"/>
          <w:szCs w:val="32"/>
          <w:highlight w:val="none"/>
          <w:lang w:val="fr-FR" w:eastAsia="zh-CN"/>
        </w:rPr>
        <w:t>同意，禁止随意动员、复员或休假，否则将按照人民币3000元/人·日的标准对</w:t>
      </w:r>
      <w:r>
        <w:rPr>
          <w:rStyle w:val="26"/>
          <w:rFonts w:hint="eastAsia" w:cs="仿宋_GB2312"/>
          <w:sz w:val="24"/>
          <w:szCs w:val="32"/>
          <w:highlight w:val="none"/>
          <w:lang w:val="fr-FR" w:eastAsia="zh-CN"/>
        </w:rPr>
        <w:t>投标方</w:t>
      </w:r>
      <w:r>
        <w:rPr>
          <w:rStyle w:val="26"/>
          <w:rFonts w:hint="eastAsia" w:ascii="Times New Roman" w:hAnsi="Times New Roman" w:eastAsia="宋体" w:cs="仿宋_GB2312"/>
          <w:sz w:val="24"/>
          <w:szCs w:val="32"/>
          <w:highlight w:val="none"/>
          <w:lang w:val="fr-FR" w:eastAsia="zh-CN"/>
        </w:rPr>
        <w:t>处以扣款，款额从工程款中扣除。；</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eastAsia="zh-CN"/>
        </w:rPr>
      </w:pPr>
      <w:r>
        <w:rPr>
          <w:rStyle w:val="26"/>
          <w:rFonts w:hint="eastAsia" w:cs="仿宋_GB2312"/>
          <w:sz w:val="24"/>
          <w:szCs w:val="32"/>
          <w:highlight w:val="none"/>
          <w:lang w:val="fr-FR" w:eastAsia="zh-CN"/>
        </w:rPr>
        <w:t>投标方</w:t>
      </w:r>
      <w:r>
        <w:rPr>
          <w:rStyle w:val="26"/>
          <w:rFonts w:hint="eastAsia" w:ascii="Times New Roman" w:hAnsi="Times New Roman" w:eastAsia="宋体" w:cs="仿宋_GB2312"/>
          <w:sz w:val="24"/>
          <w:szCs w:val="32"/>
          <w:highlight w:val="none"/>
          <w:lang w:val="fr-FR" w:eastAsia="zh-CN"/>
        </w:rPr>
        <w:t>脚手架应满足《石油化工工程钢脚手架搭设安全技术规范》要求。距基准高度2米以内的脚手杆顶端应设置管帽，防止人员受伤。脚手架作业平台宽度不得少于3块脚手板。禁止使用竹脚手架、竹脚手板和木脚手板。</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eastAsia="zh-CN"/>
        </w:rPr>
      </w:pPr>
      <w:r>
        <w:rPr>
          <w:rStyle w:val="26"/>
          <w:rFonts w:hint="eastAsia" w:cs="仿宋_GB2312"/>
          <w:sz w:val="24"/>
          <w:szCs w:val="32"/>
          <w:highlight w:val="none"/>
          <w:lang w:val="fr-FR" w:eastAsia="zh-CN"/>
        </w:rPr>
        <w:t>投标方</w:t>
      </w:r>
      <w:r>
        <w:rPr>
          <w:rStyle w:val="26"/>
          <w:rFonts w:hint="eastAsia" w:ascii="Times New Roman" w:hAnsi="Times New Roman" w:eastAsia="宋体" w:cs="仿宋_GB2312"/>
          <w:sz w:val="24"/>
          <w:szCs w:val="32"/>
          <w:highlight w:val="none"/>
          <w:lang w:val="fr-FR" w:eastAsia="zh-CN"/>
        </w:rPr>
        <w:t>发生人员死亡事故的，</w:t>
      </w:r>
      <w:r>
        <w:rPr>
          <w:rStyle w:val="26"/>
          <w:rFonts w:hint="eastAsia" w:cs="仿宋_GB2312"/>
          <w:sz w:val="24"/>
          <w:szCs w:val="32"/>
          <w:highlight w:val="none"/>
          <w:lang w:val="en-US" w:eastAsia="zh-CN"/>
        </w:rPr>
        <w:t>招标方</w:t>
      </w:r>
      <w:r>
        <w:rPr>
          <w:rStyle w:val="26"/>
          <w:rFonts w:hint="eastAsia" w:ascii="Times New Roman" w:hAnsi="Times New Roman" w:eastAsia="宋体" w:cs="仿宋_GB2312"/>
          <w:sz w:val="24"/>
          <w:szCs w:val="32"/>
          <w:highlight w:val="none"/>
          <w:lang w:val="fr-FR" w:eastAsia="zh-CN"/>
        </w:rPr>
        <w:t>按照人民币50万/人的标准对</w:t>
      </w:r>
      <w:r>
        <w:rPr>
          <w:rStyle w:val="26"/>
          <w:rFonts w:hint="eastAsia" w:cs="仿宋_GB2312"/>
          <w:sz w:val="24"/>
          <w:szCs w:val="32"/>
          <w:highlight w:val="none"/>
          <w:lang w:val="fr-FR" w:eastAsia="zh-CN"/>
        </w:rPr>
        <w:t>投标方</w:t>
      </w:r>
      <w:r>
        <w:rPr>
          <w:rStyle w:val="26"/>
          <w:rFonts w:hint="eastAsia" w:ascii="Times New Roman" w:hAnsi="Times New Roman" w:eastAsia="宋体" w:cs="仿宋_GB2312"/>
          <w:sz w:val="24"/>
          <w:szCs w:val="32"/>
          <w:highlight w:val="none"/>
          <w:lang w:val="fr-FR" w:eastAsia="zh-CN"/>
        </w:rPr>
        <w:t>进行扣款，该款从</w:t>
      </w:r>
      <w:r>
        <w:rPr>
          <w:rStyle w:val="26"/>
          <w:rFonts w:hint="eastAsia" w:cs="仿宋_GB2312"/>
          <w:sz w:val="24"/>
          <w:szCs w:val="32"/>
          <w:highlight w:val="none"/>
          <w:lang w:val="fr-FR" w:eastAsia="zh-CN"/>
        </w:rPr>
        <w:t>投标方</w:t>
      </w:r>
      <w:r>
        <w:rPr>
          <w:rStyle w:val="26"/>
          <w:rFonts w:hint="eastAsia" w:ascii="Times New Roman" w:hAnsi="Times New Roman" w:eastAsia="宋体" w:cs="仿宋_GB2312"/>
          <w:sz w:val="24"/>
          <w:szCs w:val="32"/>
          <w:highlight w:val="none"/>
          <w:lang w:val="fr-FR" w:eastAsia="zh-CN"/>
        </w:rPr>
        <w:t>的工程款中扣除，事故的所有善后处理费用由</w:t>
      </w:r>
      <w:r>
        <w:rPr>
          <w:rStyle w:val="26"/>
          <w:rFonts w:hint="eastAsia" w:cs="仿宋_GB2312"/>
          <w:sz w:val="24"/>
          <w:szCs w:val="32"/>
          <w:highlight w:val="none"/>
          <w:lang w:val="fr-FR" w:eastAsia="zh-CN"/>
        </w:rPr>
        <w:t>投标方</w:t>
      </w:r>
      <w:r>
        <w:rPr>
          <w:rStyle w:val="26"/>
          <w:rFonts w:hint="eastAsia" w:ascii="Times New Roman" w:hAnsi="Times New Roman" w:eastAsia="宋体" w:cs="仿宋_GB2312"/>
          <w:sz w:val="24"/>
          <w:szCs w:val="32"/>
          <w:highlight w:val="none"/>
          <w:lang w:val="fr-FR" w:eastAsia="zh-CN"/>
        </w:rPr>
        <w:t>负责。</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Style w:val="26"/>
          <w:rFonts w:hint="eastAsia" w:ascii="Times New Roman" w:hAnsi="Times New Roman" w:eastAsia="宋体" w:cs="仿宋_GB2312"/>
          <w:sz w:val="24"/>
          <w:szCs w:val="32"/>
          <w:highlight w:val="none"/>
          <w:lang w:val="fr-FR" w:eastAsia="zh-CN"/>
        </w:rPr>
      </w:pPr>
      <w:r>
        <w:rPr>
          <w:rStyle w:val="26"/>
          <w:rFonts w:hint="eastAsia" w:cs="仿宋_GB2312"/>
          <w:sz w:val="24"/>
          <w:szCs w:val="32"/>
          <w:highlight w:val="none"/>
          <w:lang w:val="fr-FR" w:eastAsia="zh-CN"/>
        </w:rPr>
        <w:t>投标方</w:t>
      </w:r>
      <w:r>
        <w:rPr>
          <w:rStyle w:val="26"/>
          <w:rFonts w:hint="eastAsia" w:ascii="Times New Roman" w:hAnsi="Times New Roman" w:eastAsia="宋体" w:cs="仿宋_GB2312"/>
          <w:sz w:val="24"/>
          <w:szCs w:val="32"/>
          <w:highlight w:val="none"/>
          <w:lang w:val="fr-FR" w:eastAsia="zh-CN"/>
        </w:rPr>
        <w:t>施工内容涉及消防/防雷设施的，应按照</w:t>
      </w:r>
      <w:r>
        <w:rPr>
          <w:rStyle w:val="26"/>
          <w:rFonts w:hint="eastAsia" w:cs="仿宋_GB2312"/>
          <w:sz w:val="24"/>
          <w:szCs w:val="32"/>
          <w:highlight w:val="none"/>
          <w:lang w:val="en-US" w:eastAsia="zh-CN"/>
        </w:rPr>
        <w:t>国标规范</w:t>
      </w:r>
      <w:r>
        <w:rPr>
          <w:rStyle w:val="26"/>
          <w:rFonts w:hint="eastAsia" w:ascii="Times New Roman" w:hAnsi="Times New Roman" w:eastAsia="宋体" w:cs="仿宋_GB2312"/>
          <w:sz w:val="24"/>
          <w:szCs w:val="32"/>
          <w:highlight w:val="none"/>
          <w:lang w:val="fr-FR" w:eastAsia="zh-CN"/>
        </w:rPr>
        <w:t>中有关消防/防雷设计内容进行施工，依据政府相关部门的要求编制并提供消防/防雷设计审查、验收资料文件。因验收资料提供不及时导致未按时申报消防验收的，扣款人民币5000-50000</w:t>
      </w:r>
      <w:r>
        <w:rPr>
          <w:rStyle w:val="26"/>
          <w:rFonts w:hint="eastAsia" w:cs="仿宋_GB2312"/>
          <w:sz w:val="24"/>
          <w:szCs w:val="32"/>
          <w:highlight w:val="none"/>
          <w:lang w:val="en-US" w:eastAsia="zh-CN"/>
        </w:rPr>
        <w:t>元。</w:t>
      </w:r>
    </w:p>
    <w:p>
      <w:pPr>
        <w:pStyle w:val="28"/>
        <w:keepNext w:val="0"/>
        <w:keepLines w:val="0"/>
        <w:pageBreakBefore w:val="0"/>
        <w:widowControl w:val="0"/>
        <w:numPr>
          <w:ilvl w:val="0"/>
          <w:numId w:val="26"/>
        </w:numPr>
        <w:kinsoku/>
        <w:wordWrap/>
        <w:overflowPunct/>
        <w:topLinePunct w:val="0"/>
        <w:autoSpaceDE/>
        <w:autoSpaceDN/>
        <w:bidi w:val="0"/>
        <w:adjustRightInd/>
        <w:snapToGrid/>
        <w:ind w:left="0" w:leftChars="0" w:firstLine="720" w:firstLineChars="300"/>
        <w:textAlignment w:val="auto"/>
        <w:rPr>
          <w:rFonts w:ascii="Times New Roman" w:hAnsi="Times New Roman" w:eastAsia="宋体" w:cs="仿宋_GB2312"/>
          <w:color w:val="000000" w:themeColor="text1"/>
          <w:sz w:val="24"/>
          <w:szCs w:val="24"/>
          <w:highlight w:val="none"/>
          <w14:textFill>
            <w14:solidFill>
              <w14:schemeClr w14:val="tx1"/>
            </w14:solidFill>
          </w14:textFill>
        </w:rPr>
      </w:pPr>
      <w:r>
        <w:rPr>
          <w:rStyle w:val="26"/>
          <w:rFonts w:hint="eastAsia" w:ascii="Times New Roman" w:hAnsi="Times New Roman" w:eastAsia="宋体" w:cs="仿宋_GB2312"/>
          <w:sz w:val="24"/>
          <w:szCs w:val="32"/>
          <w:highlight w:val="none"/>
          <w:lang w:val="fr-FR" w:eastAsia="zh-CN"/>
        </w:rPr>
        <w:t>发生事故、事件后，弄虚作假、隐瞒不报、迟报或谎报，一经查出，加倍处罚。</w:t>
      </w:r>
      <w:r>
        <w:rPr>
          <w:rFonts w:ascii="Times New Roman" w:hAnsi="Times New Roman" w:eastAsia="宋体" w:cs="仿宋_GB2312"/>
          <w:color w:val="000000" w:themeColor="text1"/>
          <w:sz w:val="24"/>
          <w:szCs w:val="24"/>
          <w:highlight w:val="none"/>
          <w14:textFill>
            <w14:solidFill>
              <w14:schemeClr w14:val="tx1"/>
            </w14:solidFill>
          </w14:textFill>
        </w:rPr>
        <w:t>（注：以上对</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的事故处罚金额不低于</w:t>
      </w:r>
      <w:r>
        <w:rPr>
          <w:rFonts w:hint="eastAsia" w:cs="仿宋_GB2312"/>
          <w:color w:val="000000" w:themeColor="text1"/>
          <w:sz w:val="24"/>
          <w:szCs w:val="24"/>
          <w:highlight w:val="none"/>
          <w:lang w:eastAsia="zh-CN"/>
          <w14:textFill>
            <w14:solidFill>
              <w14:schemeClr w14:val="tx1"/>
            </w14:solidFill>
          </w14:textFill>
        </w:rPr>
        <w:t>建设单位</w:t>
      </w:r>
      <w:r>
        <w:rPr>
          <w:rFonts w:ascii="Times New Roman" w:hAnsi="Times New Roman" w:eastAsia="宋体" w:cs="仿宋_GB2312"/>
          <w:color w:val="000000" w:themeColor="text1"/>
          <w:sz w:val="24"/>
          <w:szCs w:val="24"/>
          <w:highlight w:val="none"/>
          <w14:textFill>
            <w14:solidFill>
              <w14:schemeClr w14:val="tx1"/>
            </w14:solidFill>
          </w14:textFill>
        </w:rPr>
        <w:t>单位对</w:t>
      </w: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的处罚金额）</w:t>
      </w:r>
    </w:p>
    <w:p>
      <w:pPr>
        <w:ind w:left="0" w:leftChars="0" w:firstLine="0" w:firstLineChars="0"/>
        <w:rPr>
          <w:rFonts w:ascii="Times New Roman" w:hAnsi="Times New Roman" w:eastAsia="宋体" w:cs="仿宋_GB2312"/>
          <w:color w:val="000000" w:themeColor="text1"/>
          <w:sz w:val="24"/>
          <w:szCs w:val="24"/>
          <w:highlight w:val="none"/>
          <w14:textFill>
            <w14:solidFill>
              <w14:schemeClr w14:val="tx1"/>
            </w14:solidFill>
          </w14:textFill>
        </w:rPr>
      </w:pPr>
      <w:r>
        <w:rPr>
          <w:rFonts w:hint="eastAsia" w:cs="仿宋_GB2312"/>
          <w:color w:val="000000" w:themeColor="text1"/>
          <w:sz w:val="24"/>
          <w:szCs w:val="24"/>
          <w:highlight w:val="none"/>
          <w:lang w:eastAsia="zh-CN"/>
          <w14:textFill>
            <w14:solidFill>
              <w14:schemeClr w14:val="tx1"/>
            </w14:solidFill>
          </w14:textFill>
        </w:rPr>
        <w:t>（</w:t>
      </w:r>
      <w:r>
        <w:rPr>
          <w:rFonts w:hint="eastAsia" w:cs="仿宋_GB2312"/>
          <w:color w:val="000000" w:themeColor="text1"/>
          <w:sz w:val="24"/>
          <w:szCs w:val="24"/>
          <w:highlight w:val="none"/>
          <w:lang w:val="en-US" w:eastAsia="zh-CN"/>
          <w14:textFill>
            <w14:solidFill>
              <w14:schemeClr w14:val="tx1"/>
            </w14:solidFill>
          </w14:textFill>
        </w:rPr>
        <w:t>5</w:t>
      </w:r>
      <w:r>
        <w:rPr>
          <w:rFonts w:hint="eastAsia" w:cs="仿宋_GB2312"/>
          <w:color w:val="000000" w:themeColor="text1"/>
          <w:sz w:val="24"/>
          <w:szCs w:val="24"/>
          <w:highlight w:val="none"/>
          <w:lang w:eastAsia="zh-CN"/>
          <w14:textFill>
            <w14:solidFill>
              <w14:schemeClr w14:val="tx1"/>
            </w14:solidFill>
          </w14:textFill>
        </w:rPr>
        <w:t>）</w:t>
      </w:r>
      <w:r>
        <w:rPr>
          <w:rFonts w:ascii="Times New Roman" w:hAnsi="Times New Roman" w:eastAsia="宋体" w:cs="仿宋_GB2312"/>
          <w:color w:val="000000" w:themeColor="text1"/>
          <w:sz w:val="24"/>
          <w:szCs w:val="24"/>
          <w:highlight w:val="none"/>
          <w14:textFill>
            <w14:solidFill>
              <w14:schemeClr w14:val="tx1"/>
            </w14:solidFill>
          </w14:textFill>
        </w:rPr>
        <w:t>如因履行本合同，</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造成任何江、河、湖、海、陆地、大气及其它环境污染，</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应单独承担全部责任，包括消除污染源、赔偿污染造成的损失、承担污染产生的法律责任和污染造成的停工损失等，并应确保</w:t>
      </w: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免于所有相关的索赔、损失、损害、费用和责任，包括但不限于在</w:t>
      </w: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因此需要支付任何赔偿时，</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均应全额予以补偿。</w:t>
      </w:r>
    </w:p>
    <w:p>
      <w:pPr>
        <w:ind w:left="0" w:leftChars="0" w:firstLine="0" w:firstLineChars="0"/>
        <w:rPr>
          <w:rFonts w:ascii="Times New Roman" w:hAnsi="Times New Roman" w:eastAsia="宋体" w:cs="仿宋_GB2312"/>
          <w:color w:val="000000" w:themeColor="text1"/>
          <w:sz w:val="24"/>
          <w:szCs w:val="24"/>
          <w:highlight w:val="none"/>
          <w14:textFill>
            <w14:solidFill>
              <w14:schemeClr w14:val="tx1"/>
            </w14:solidFill>
          </w14:textFill>
        </w:rPr>
      </w:pPr>
      <w:r>
        <w:rPr>
          <w:rFonts w:hint="eastAsia" w:cs="仿宋_GB2312"/>
          <w:color w:val="000000" w:themeColor="text1"/>
          <w:sz w:val="24"/>
          <w:szCs w:val="24"/>
          <w:highlight w:val="none"/>
          <w:lang w:eastAsia="zh-CN"/>
          <w14:textFill>
            <w14:solidFill>
              <w14:schemeClr w14:val="tx1"/>
            </w14:solidFill>
          </w14:textFill>
        </w:rPr>
        <w:t>（</w:t>
      </w:r>
      <w:r>
        <w:rPr>
          <w:rFonts w:hint="eastAsia" w:cs="仿宋_GB2312"/>
          <w:color w:val="000000" w:themeColor="text1"/>
          <w:sz w:val="24"/>
          <w:szCs w:val="24"/>
          <w:highlight w:val="none"/>
          <w:lang w:val="en-US" w:eastAsia="zh-CN"/>
          <w14:textFill>
            <w14:solidFill>
              <w14:schemeClr w14:val="tx1"/>
            </w14:solidFill>
          </w14:textFill>
        </w:rPr>
        <w:t>6</w:t>
      </w:r>
      <w:r>
        <w:rPr>
          <w:rFonts w:hint="eastAsia" w:cs="仿宋_GB2312"/>
          <w:color w:val="000000" w:themeColor="text1"/>
          <w:sz w:val="24"/>
          <w:szCs w:val="24"/>
          <w:highlight w:val="none"/>
          <w:lang w:eastAsia="zh-CN"/>
          <w14:textFill>
            <w14:solidFill>
              <w14:schemeClr w14:val="tx1"/>
            </w14:solidFill>
          </w14:textFill>
        </w:rPr>
        <w:t>）</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因自身原因履行本合同造成</w:t>
      </w: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财产损失、损坏、人身伤亡或疾病，</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应承担全部责任，并承担全部费用（包括但不限于相关的索赔、损失、损害和赔偿费用）。</w:t>
      </w:r>
    </w:p>
    <w:p>
      <w:pPr>
        <w:ind w:left="0" w:leftChars="0" w:firstLine="480" w:firstLineChars="200"/>
        <w:rPr>
          <w:rFonts w:ascii="Times New Roman" w:hAnsi="Times New Roman" w:eastAsia="宋体" w:cs="仿宋_GB2312"/>
          <w:color w:val="000000" w:themeColor="text1"/>
          <w:sz w:val="24"/>
          <w:szCs w:val="24"/>
          <w:highlight w:val="none"/>
          <w14:textFill>
            <w14:solidFill>
              <w14:schemeClr w14:val="tx1"/>
            </w14:solidFill>
          </w14:textFill>
        </w:rPr>
      </w:pP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对自身执行现场的安全生产负总责。</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依法将工程分包给其它单位的，分包合同中应当明确各自的安全生产方面的权利、义务。</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和分包单位对分包工程的安全生产承担连带责任。</w:t>
      </w:r>
    </w:p>
    <w:p>
      <w:pPr>
        <w:ind w:left="0" w:leftChars="0" w:firstLine="480" w:firstLineChars="200"/>
        <w:rPr>
          <w:rFonts w:ascii="Times New Roman" w:hAnsi="Times New Roman" w:eastAsia="宋体" w:cs="仿宋_GB2312"/>
          <w:color w:val="000000" w:themeColor="text1"/>
          <w:sz w:val="24"/>
          <w:szCs w:val="24"/>
          <w:highlight w:val="none"/>
          <w14:textFill>
            <w14:solidFill>
              <w14:schemeClr w14:val="tx1"/>
            </w14:solidFill>
          </w14:textFill>
        </w:rPr>
      </w:pP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对监管范围内执行区域的</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提出明确的安全环保管理要求并进行监督管理，对超出</w:t>
      </w: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监管范围、处于执行区域外的</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辅助服务项目如执行生活区、运输、线路踏勘、地质勘察等执行，</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仍然负有主体责任。</w:t>
      </w:r>
    </w:p>
    <w:p>
      <w:pPr>
        <w:ind w:left="0" w:leftChars="0" w:firstLine="480" w:firstLineChars="200"/>
        <w:rPr>
          <w:rFonts w:ascii="Times New Roman" w:hAnsi="Times New Roman" w:eastAsia="宋体" w:cs="仿宋_GB2312"/>
          <w:color w:val="000000" w:themeColor="text1"/>
          <w:sz w:val="24"/>
          <w:szCs w:val="24"/>
          <w:highlight w:val="none"/>
          <w14:textFill>
            <w14:solidFill>
              <w14:schemeClr w14:val="tx1"/>
            </w14:solidFill>
          </w14:textFill>
        </w:rPr>
      </w:pPr>
      <w:r>
        <w:rPr>
          <w:rFonts w:ascii="Times New Roman" w:hAnsi="Times New Roman" w:eastAsia="宋体" w:cs="仿宋_GB2312"/>
          <w:color w:val="000000" w:themeColor="text1"/>
          <w:sz w:val="24"/>
          <w:szCs w:val="24"/>
          <w:highlight w:val="none"/>
          <w14:textFill>
            <w14:solidFill>
              <w14:schemeClr w14:val="tx1"/>
            </w14:solidFill>
          </w14:textFill>
        </w:rPr>
        <w:t>双方均有对项目进行风险辨识和风险评价的责任，将辨识和评价的结果告知对方；对于辨识出的风险，应明确制定和实施防范措施的责任方；</w:t>
      </w: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应对承包商风险辨识结果和控制措施进行审核和批准，并监督执行。</w:t>
      </w:r>
    </w:p>
    <w:p>
      <w:pPr>
        <w:ind w:left="0" w:leftChars="0" w:firstLine="480" w:firstLineChars="200"/>
        <w:rPr>
          <w:rFonts w:ascii="Times New Roman" w:hAnsi="Times New Roman" w:eastAsia="宋体" w:cs="仿宋_GB2312"/>
          <w:color w:val="000000" w:themeColor="text1"/>
          <w:sz w:val="24"/>
          <w:szCs w:val="24"/>
          <w:highlight w:val="none"/>
          <w14:textFill>
            <w14:solidFill>
              <w14:schemeClr w14:val="tx1"/>
            </w14:solidFill>
          </w14:textFill>
        </w:rPr>
      </w:pP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发现</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严重违反条款规定或存在严重健康安全环保隐患时，有权要求</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停工整改，预期整改不合格的，可解除合同。</w:t>
      </w:r>
    </w:p>
    <w:p>
      <w:pPr>
        <w:ind w:left="0" w:leftChars="0" w:firstLine="480" w:firstLineChars="200"/>
        <w:rPr>
          <w:rFonts w:ascii="Times New Roman" w:hAnsi="Times New Roman" w:eastAsia="宋体" w:cs="仿宋_GB2312"/>
          <w:color w:val="000000" w:themeColor="text1"/>
          <w:sz w:val="24"/>
          <w:szCs w:val="24"/>
          <w:highlight w:val="none"/>
          <w14:textFill>
            <w14:solidFill>
              <w14:schemeClr w14:val="tx1"/>
            </w14:solidFill>
          </w14:textFill>
        </w:rPr>
      </w:pP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不得使用不符合国家规定的评价、认证和检验机构。</w:t>
      </w:r>
    </w:p>
    <w:p>
      <w:pPr>
        <w:ind w:left="0" w:leftChars="0" w:firstLine="480" w:firstLineChars="200"/>
        <w:rPr>
          <w:rFonts w:ascii="Times New Roman" w:hAnsi="Times New Roman" w:eastAsia="宋体" w:cs="仿宋_GB2312"/>
          <w:color w:val="000000" w:themeColor="text1"/>
          <w:sz w:val="24"/>
          <w:szCs w:val="24"/>
          <w:highlight w:val="none"/>
          <w14:textFill>
            <w14:solidFill>
              <w14:schemeClr w14:val="tx1"/>
            </w14:solidFill>
          </w14:textFill>
        </w:rPr>
      </w:pPr>
      <w:r>
        <w:rPr>
          <w:rFonts w:ascii="Times New Roman" w:hAnsi="Times New Roman" w:eastAsia="宋体" w:cs="仿宋_GB2312"/>
          <w:color w:val="000000" w:themeColor="text1"/>
          <w:sz w:val="24"/>
          <w:szCs w:val="24"/>
          <w:highlight w:val="none"/>
          <w14:textFill>
            <w14:solidFill>
              <w14:schemeClr w14:val="tx1"/>
            </w14:solidFill>
          </w14:textFill>
        </w:rPr>
        <w:t>对于环境保护管理，明确</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对危险品、有毒有害等物品管理的要求及其废弃物妥善处置的要求，委托有环保相应资质的单位进行废弃物、生活废水等的处理。</w:t>
      </w:r>
    </w:p>
    <w:p>
      <w:pPr>
        <w:ind w:left="0" w:leftChars="0" w:firstLine="480" w:firstLineChars="200"/>
        <w:rPr>
          <w:rFonts w:ascii="Times New Roman" w:hAnsi="Times New Roman" w:eastAsia="宋体" w:cs="仿宋_GB2312"/>
          <w:color w:val="000000" w:themeColor="text1"/>
          <w:sz w:val="24"/>
          <w:szCs w:val="24"/>
          <w:highlight w:val="none"/>
          <w14:textFill>
            <w14:solidFill>
              <w14:schemeClr w14:val="tx1"/>
            </w14:solidFill>
          </w14:textFill>
        </w:rPr>
      </w:pPr>
      <w:r>
        <w:rPr>
          <w:rFonts w:hint="eastAsia" w:ascii="Times New Roman" w:hAnsi="Times New Roman" w:eastAsia="宋体" w:cs="仿宋_GB2312"/>
          <w:color w:val="000000" w:themeColor="text1"/>
          <w:sz w:val="24"/>
          <w:szCs w:val="24"/>
          <w:highlight w:val="none"/>
          <w14:textFill>
            <w14:solidFill>
              <w14:schemeClr w14:val="tx1"/>
            </w14:solidFill>
          </w14:textFill>
        </w:rPr>
        <w:t>招标方</w:t>
      </w:r>
      <w:r>
        <w:rPr>
          <w:rFonts w:ascii="Times New Roman" w:hAnsi="Times New Roman" w:eastAsia="宋体" w:cs="仿宋_GB2312"/>
          <w:color w:val="000000" w:themeColor="text1"/>
          <w:sz w:val="24"/>
          <w:szCs w:val="24"/>
          <w:highlight w:val="none"/>
          <w14:textFill>
            <w14:solidFill>
              <w14:schemeClr w14:val="tx1"/>
            </w14:solidFill>
          </w14:textFill>
        </w:rPr>
        <w:t>与</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签订</w:t>
      </w:r>
      <w:r>
        <w:rPr>
          <w:rFonts w:hint="eastAsia" w:ascii="Times New Roman" w:hAnsi="Times New Roman" w:eastAsia="宋体" w:cs="仿宋_GB2312"/>
          <w:color w:val="000000" w:themeColor="text1"/>
          <w:sz w:val="24"/>
          <w:szCs w:val="24"/>
          <w:highlight w:val="none"/>
          <w14:textFill>
            <w14:solidFill>
              <w14:schemeClr w14:val="tx1"/>
            </w14:solidFill>
          </w14:textFill>
        </w:rPr>
        <w:t>投标方</w:t>
      </w:r>
      <w:r>
        <w:rPr>
          <w:rFonts w:ascii="Times New Roman" w:hAnsi="Times New Roman" w:eastAsia="宋体" w:cs="仿宋_GB2312"/>
          <w:color w:val="000000" w:themeColor="text1"/>
          <w:sz w:val="24"/>
          <w:szCs w:val="24"/>
          <w:highlight w:val="none"/>
          <w14:textFill>
            <w14:solidFill>
              <w14:schemeClr w14:val="tx1"/>
            </w14:solidFill>
          </w14:textFill>
        </w:rPr>
        <w:t>合同时，应签署安全生产管理协议书。</w:t>
      </w:r>
    </w:p>
    <w:p>
      <w:pPr>
        <w:pStyle w:val="2"/>
        <w:numPr>
          <w:ilvl w:val="1"/>
          <w:numId w:val="0"/>
        </w:numPr>
        <w:bidi w:val="0"/>
        <w:ind w:leftChars="0"/>
        <w:rPr>
          <w:rFonts w:hint="eastAsia"/>
          <w:highlight w:val="none"/>
          <w:lang w:val="en-US" w:eastAsia="zh-CN"/>
        </w:rPr>
      </w:pPr>
      <w:bookmarkStart w:id="174" w:name="_Toc7483"/>
      <w:r>
        <w:rPr>
          <w:rFonts w:hint="eastAsia"/>
          <w:highlight w:val="none"/>
          <w:lang w:val="en-US" w:eastAsia="zh-CN"/>
        </w:rPr>
        <w:t>8.3、质量要求</w:t>
      </w:r>
      <w:bookmarkEnd w:id="174"/>
    </w:p>
    <w:p>
      <w:pPr>
        <w:pStyle w:val="4"/>
        <w:numPr>
          <w:ilvl w:val="2"/>
          <w:numId w:val="0"/>
        </w:numPr>
        <w:bidi w:val="0"/>
        <w:ind w:leftChars="0"/>
        <w:rPr>
          <w:highlight w:val="none"/>
        </w:rPr>
      </w:pPr>
      <w:bookmarkStart w:id="175" w:name="_Toc15318"/>
      <w:bookmarkStart w:id="176" w:name="_Toc10927"/>
      <w:bookmarkStart w:id="177" w:name="_Toc9820"/>
      <w:bookmarkStart w:id="178" w:name="_Toc6635"/>
      <w:bookmarkStart w:id="179" w:name="_Toc10025"/>
      <w:bookmarkStart w:id="180" w:name="_Toc134823130"/>
      <w:bookmarkStart w:id="181" w:name="_Toc5941"/>
      <w:bookmarkStart w:id="182" w:name="_Toc109910033"/>
      <w:bookmarkStart w:id="183" w:name="_Toc115084611"/>
      <w:bookmarkStart w:id="184" w:name="_Toc7585"/>
      <w:bookmarkStart w:id="185" w:name="_Toc117245565"/>
      <w:bookmarkStart w:id="186" w:name="_Toc2519"/>
      <w:r>
        <w:rPr>
          <w:rFonts w:hint="eastAsia"/>
          <w:highlight w:val="none"/>
          <w:lang w:val="en-US" w:eastAsia="zh-CN"/>
        </w:rPr>
        <w:t>8.3.1</w:t>
      </w:r>
      <w:r>
        <w:rPr>
          <w:rFonts w:hint="eastAsia"/>
          <w:highlight w:val="none"/>
        </w:rPr>
        <w:t>质量服务要求</w:t>
      </w:r>
      <w:bookmarkEnd w:id="175"/>
      <w:bookmarkEnd w:id="176"/>
      <w:bookmarkEnd w:id="177"/>
      <w:bookmarkEnd w:id="178"/>
      <w:bookmarkEnd w:id="179"/>
      <w:bookmarkEnd w:id="180"/>
    </w:p>
    <w:p>
      <w:pPr>
        <w:pStyle w:val="28"/>
        <w:rPr>
          <w:rStyle w:val="26"/>
          <w:rFonts w:ascii="Times New Roman" w:hAnsi="Times New Roman" w:eastAsia="宋体" w:cs="仿宋_GB2312"/>
          <w:szCs w:val="22"/>
          <w:highlight w:val="none"/>
        </w:rPr>
      </w:pPr>
      <w:r>
        <w:rPr>
          <w:rStyle w:val="26"/>
          <w:rFonts w:hint="eastAsia" w:ascii="Times New Roman" w:hAnsi="Times New Roman" w:eastAsia="宋体" w:cs="仿宋_GB2312"/>
          <w:szCs w:val="22"/>
          <w:highlight w:val="none"/>
        </w:rPr>
        <w:t>本工程属优质工程目标服务项目</w:t>
      </w:r>
    </w:p>
    <w:p>
      <w:pPr>
        <w:pStyle w:val="28"/>
        <w:rPr>
          <w:rStyle w:val="26"/>
          <w:rFonts w:ascii="Times New Roman" w:hAnsi="Times New Roman" w:eastAsia="宋体" w:cs="仿宋_GB2312"/>
          <w:szCs w:val="22"/>
          <w:highlight w:val="none"/>
        </w:rPr>
      </w:pPr>
      <w:r>
        <w:rPr>
          <w:rStyle w:val="26"/>
          <w:rFonts w:hint="eastAsia" w:ascii="Times New Roman" w:hAnsi="Times New Roman" w:eastAsia="宋体" w:cs="仿宋_GB2312"/>
          <w:szCs w:val="22"/>
          <w:highlight w:val="none"/>
        </w:rPr>
        <w:t>安装工程内在质量100％达到国家验收和“技术规范”标准，外表美观整洁，单位工程一次合格率100％，工程质量达到优良，质量事故为零。</w:t>
      </w:r>
    </w:p>
    <w:p>
      <w:pPr>
        <w:pStyle w:val="4"/>
        <w:numPr>
          <w:ilvl w:val="2"/>
          <w:numId w:val="0"/>
        </w:numPr>
        <w:bidi w:val="0"/>
        <w:ind w:leftChars="0"/>
        <w:rPr>
          <w:highlight w:val="none"/>
        </w:rPr>
      </w:pPr>
      <w:bookmarkStart w:id="187" w:name="_Toc13247"/>
      <w:r>
        <w:rPr>
          <w:rFonts w:hint="eastAsia"/>
          <w:highlight w:val="none"/>
          <w:lang w:val="en-US" w:eastAsia="zh-CN"/>
        </w:rPr>
        <w:t>8.3.2</w:t>
      </w:r>
      <w:r>
        <w:rPr>
          <w:rFonts w:hint="eastAsia"/>
          <w:highlight w:val="none"/>
        </w:rPr>
        <w:t>质量控制</w:t>
      </w:r>
      <w:bookmarkEnd w:id="181"/>
      <w:bookmarkEnd w:id="182"/>
      <w:bookmarkEnd w:id="183"/>
      <w:bookmarkEnd w:id="184"/>
      <w:r>
        <w:rPr>
          <w:rFonts w:hint="eastAsia"/>
          <w:highlight w:val="none"/>
          <w:lang w:val="en-US" w:eastAsia="zh-CN"/>
        </w:rPr>
        <w:t>要求</w:t>
      </w:r>
      <w:bookmarkEnd w:id="187"/>
    </w:p>
    <w:p>
      <w:pPr>
        <w:ind w:left="0" w:leftChars="0" w:firstLine="480" w:firstLineChars="200"/>
        <w:rPr>
          <w:rFonts w:hint="eastAsia" w:ascii="Times New Roman" w:hAnsi="Times New Roman" w:eastAsia="宋体" w:cs="仿宋_GB2312"/>
          <w:color w:val="000000" w:themeColor="text1"/>
          <w:sz w:val="24"/>
          <w:szCs w:val="24"/>
          <w:highlight w:val="none"/>
          <w14:textFill>
            <w14:solidFill>
              <w14:schemeClr w14:val="tx1"/>
            </w14:solidFill>
          </w14:textFill>
        </w:rPr>
      </w:pPr>
      <w:r>
        <w:rPr>
          <w:rFonts w:hint="eastAsia" w:ascii="Times New Roman" w:hAnsi="Times New Roman" w:eastAsia="宋体" w:cs="仿宋_GB2312"/>
          <w:color w:val="000000" w:themeColor="text1"/>
          <w:sz w:val="24"/>
          <w:szCs w:val="24"/>
          <w:highlight w:val="none"/>
          <w14:textFill>
            <w14:solidFill>
              <w14:schemeClr w14:val="tx1"/>
            </w14:solidFill>
          </w14:textFill>
        </w:rPr>
        <w:t>投标方需提供完整的项目实施管理方案，包含但不限于项目需求调研方案、总体建设方案、项目管理方案（包括施工管理、质量管理、进度管理、风险管理、安全管理等）。</w:t>
      </w:r>
    </w:p>
    <w:p>
      <w:pPr>
        <w:ind w:left="0" w:leftChars="0" w:firstLine="480" w:firstLineChars="200"/>
        <w:rPr>
          <w:rFonts w:hint="eastAsia" w:ascii="Times New Roman" w:hAnsi="Times New Roman" w:eastAsia="宋体" w:cs="仿宋_GB2312"/>
          <w:color w:val="000000" w:themeColor="text1"/>
          <w:sz w:val="24"/>
          <w:szCs w:val="24"/>
          <w:highlight w:val="none"/>
          <w14:textFill>
            <w14:solidFill>
              <w14:schemeClr w14:val="tx1"/>
            </w14:solidFill>
          </w14:textFill>
        </w:rPr>
      </w:pPr>
      <w:r>
        <w:rPr>
          <w:rFonts w:hint="eastAsia" w:ascii="Times New Roman" w:hAnsi="Times New Roman" w:eastAsia="宋体" w:cs="仿宋_GB2312"/>
          <w:color w:val="000000" w:themeColor="text1"/>
          <w:sz w:val="24"/>
          <w:szCs w:val="24"/>
          <w:highlight w:val="none"/>
          <w14:textFill>
            <w14:solidFill>
              <w14:schemeClr w14:val="tx1"/>
            </w14:solidFill>
          </w14:textFill>
        </w:rPr>
        <w:t>项目实施需满足人员配备要求及时间要求，符合项目验收要求，保质保量的完成所有项目建设内容。</w:t>
      </w:r>
    </w:p>
    <w:p>
      <w:pPr>
        <w:pStyle w:val="2"/>
        <w:numPr>
          <w:ilvl w:val="1"/>
          <w:numId w:val="0"/>
        </w:numPr>
        <w:bidi w:val="0"/>
        <w:ind w:leftChars="0"/>
        <w:rPr>
          <w:highlight w:val="none"/>
        </w:rPr>
      </w:pPr>
      <w:bookmarkStart w:id="188" w:name="_Toc6276"/>
      <w:bookmarkStart w:id="189" w:name="_Toc115084612"/>
      <w:bookmarkStart w:id="190" w:name="_Toc109910034"/>
      <w:bookmarkStart w:id="191" w:name="_Toc203"/>
      <w:bookmarkStart w:id="192" w:name="_Toc28611"/>
      <w:r>
        <w:rPr>
          <w:rFonts w:hint="eastAsia"/>
          <w:highlight w:val="none"/>
          <w:lang w:val="en-US" w:eastAsia="zh-CN"/>
        </w:rPr>
        <w:t>8.3.3</w:t>
      </w:r>
      <w:r>
        <w:rPr>
          <w:rFonts w:hint="eastAsia"/>
          <w:highlight w:val="none"/>
        </w:rPr>
        <w:t>风险管理</w:t>
      </w:r>
      <w:bookmarkEnd w:id="188"/>
      <w:bookmarkEnd w:id="189"/>
      <w:bookmarkEnd w:id="190"/>
      <w:bookmarkEnd w:id="191"/>
      <w:r>
        <w:rPr>
          <w:rFonts w:hint="eastAsia"/>
          <w:highlight w:val="none"/>
          <w:lang w:val="en-US" w:eastAsia="zh-CN"/>
        </w:rPr>
        <w:t>要求</w:t>
      </w:r>
      <w:bookmarkEnd w:id="192"/>
    </w:p>
    <w:p>
      <w:pPr>
        <w:ind w:left="0" w:leftChars="0" w:firstLine="480" w:firstLineChars="200"/>
        <w:rPr>
          <w:rFonts w:hint="eastAsia" w:ascii="Times New Roman" w:hAnsi="Times New Roman" w:eastAsia="宋体" w:cs="仿宋_GB2312"/>
          <w:color w:val="000000" w:themeColor="text1"/>
          <w:sz w:val="24"/>
          <w:szCs w:val="24"/>
          <w:highlight w:val="none"/>
          <w14:textFill>
            <w14:solidFill>
              <w14:schemeClr w14:val="tx1"/>
            </w14:solidFill>
          </w14:textFill>
        </w:rPr>
      </w:pPr>
      <w:r>
        <w:rPr>
          <w:rFonts w:hint="eastAsia" w:ascii="Times New Roman" w:hAnsi="Times New Roman" w:eastAsia="宋体" w:cs="仿宋_GB2312"/>
          <w:color w:val="000000" w:themeColor="text1"/>
          <w:sz w:val="24"/>
          <w:szCs w:val="24"/>
          <w:highlight w:val="none"/>
          <w14:textFill>
            <w14:solidFill>
              <w14:schemeClr w14:val="tx1"/>
            </w14:solidFill>
          </w14:textFill>
        </w:rPr>
        <w:t>投标方需提供项目实施的风险管理措施，及定期汇报实施效果，便于招标方评估风险。</w:t>
      </w:r>
    </w:p>
    <w:p>
      <w:pPr>
        <w:ind w:left="0" w:leftChars="0" w:firstLine="480" w:firstLineChars="200"/>
        <w:rPr>
          <w:rFonts w:hint="eastAsia" w:cs="仿宋_GB2312"/>
          <w:color w:val="000000" w:themeColor="text1"/>
          <w:sz w:val="24"/>
          <w:szCs w:val="24"/>
          <w:highlight w:val="none"/>
          <w:lang w:eastAsia="zh-CN"/>
          <w14:textFill>
            <w14:solidFill>
              <w14:schemeClr w14:val="tx1"/>
            </w14:solidFill>
          </w14:textFill>
        </w:rPr>
      </w:pPr>
      <w:r>
        <w:rPr>
          <w:rFonts w:hint="eastAsia" w:cs="仿宋_GB2312"/>
          <w:color w:val="000000" w:themeColor="text1"/>
          <w:sz w:val="24"/>
          <w:szCs w:val="24"/>
          <w:highlight w:val="none"/>
          <w:lang w:eastAsia="zh-CN"/>
          <w14:textFill>
            <w14:solidFill>
              <w14:schemeClr w14:val="tx1"/>
            </w14:solidFill>
          </w14:textFill>
        </w:rPr>
        <w:t>通过项目风险清单记录和跟踪识别到项目风险，并为每个风险制定必要的处置措施，以备风险发生时使用。</w:t>
      </w:r>
    </w:p>
    <w:p>
      <w:pPr>
        <w:ind w:left="0" w:leftChars="0" w:firstLine="480" w:firstLineChars="200"/>
        <w:rPr>
          <w:rFonts w:hint="eastAsia" w:cs="仿宋_GB2312"/>
          <w:color w:val="000000" w:themeColor="text1"/>
          <w:sz w:val="24"/>
          <w:szCs w:val="24"/>
          <w:highlight w:val="none"/>
          <w:lang w:eastAsia="zh-CN"/>
          <w14:textFill>
            <w14:solidFill>
              <w14:schemeClr w14:val="tx1"/>
            </w14:solidFill>
          </w14:textFill>
        </w:rPr>
      </w:pPr>
      <w:r>
        <w:rPr>
          <w:rFonts w:hint="eastAsia" w:cs="仿宋_GB2312"/>
          <w:color w:val="000000" w:themeColor="text1"/>
          <w:sz w:val="24"/>
          <w:szCs w:val="24"/>
          <w:highlight w:val="none"/>
          <w:lang w:eastAsia="zh-CN"/>
          <w14:textFill>
            <w14:solidFill>
              <w14:schemeClr w14:val="tx1"/>
            </w14:solidFill>
          </w14:textFill>
        </w:rPr>
        <w:t>建立管理储备。应用于任意的未知风险，也就是说，在对已经识别到的风险建立资金、人员、设备等应对措施的基础上，还要建立额外的储备资源，以便应对意外风险事件的发生。</w:t>
      </w:r>
    </w:p>
    <w:p>
      <w:pPr>
        <w:ind w:left="0" w:leftChars="0" w:firstLine="480" w:firstLineChars="200"/>
        <w:rPr>
          <w:rFonts w:hint="eastAsia" w:cs="仿宋_GB2312"/>
          <w:color w:val="000000" w:themeColor="text1"/>
          <w:sz w:val="24"/>
          <w:szCs w:val="24"/>
          <w:highlight w:val="none"/>
          <w:lang w:eastAsia="zh-CN"/>
          <w14:textFill>
            <w14:solidFill>
              <w14:schemeClr w14:val="tx1"/>
            </w14:solidFill>
          </w14:textFill>
        </w:rPr>
      </w:pPr>
      <w:r>
        <w:rPr>
          <w:rFonts w:hint="eastAsia" w:cs="仿宋_GB2312"/>
          <w:color w:val="000000" w:themeColor="text1"/>
          <w:sz w:val="24"/>
          <w:szCs w:val="24"/>
          <w:highlight w:val="none"/>
          <w:lang w:eastAsia="zh-CN"/>
          <w14:textFill>
            <w14:solidFill>
              <w14:schemeClr w14:val="tx1"/>
            </w14:solidFill>
          </w14:textFill>
        </w:rPr>
        <w:t>建立风险等级管理和风险跟踪制度。针对不同等级的风险要定期进行再识别和再分析，特别是对那些影响重大、风险等级高的风险，要项目执行过程，进行跟踪监视和管控，尽量规避和防范风险的发生，即使发生了，也要将风险的负面影响降到最低，不能被动的接受风险的结果。</w:t>
      </w:r>
    </w:p>
    <w:p>
      <w:pPr>
        <w:ind w:left="0" w:leftChars="0" w:firstLine="480" w:firstLineChars="200"/>
        <w:rPr>
          <w:rFonts w:hint="eastAsia" w:cs="仿宋_GB2312"/>
          <w:color w:val="000000" w:themeColor="text1"/>
          <w:sz w:val="24"/>
          <w:szCs w:val="24"/>
          <w:highlight w:val="none"/>
          <w:lang w:eastAsia="zh-CN"/>
          <w14:textFill>
            <w14:solidFill>
              <w14:schemeClr w14:val="tx1"/>
            </w14:solidFill>
          </w14:textFill>
        </w:rPr>
      </w:pPr>
      <w:r>
        <w:rPr>
          <w:rFonts w:hint="eastAsia" w:cs="仿宋_GB2312"/>
          <w:color w:val="000000" w:themeColor="text1"/>
          <w:sz w:val="24"/>
          <w:szCs w:val="24"/>
          <w:highlight w:val="none"/>
          <w:lang w:eastAsia="zh-CN"/>
          <w14:textFill>
            <w14:solidFill>
              <w14:schemeClr w14:val="tx1"/>
            </w14:solidFill>
          </w14:textFill>
        </w:rPr>
        <w:t>要清晰记录风险处置过程中的权变措施和处置结果。权变措施是在应对风险事件时所采取的计划外措施。</w:t>
      </w:r>
    </w:p>
    <w:p>
      <w:pPr>
        <w:ind w:left="0" w:leftChars="0" w:firstLine="480" w:firstLineChars="200"/>
        <w:rPr>
          <w:rFonts w:hint="eastAsia" w:cs="仿宋_GB2312"/>
          <w:color w:val="000000" w:themeColor="text1"/>
          <w:sz w:val="24"/>
          <w:szCs w:val="24"/>
          <w:highlight w:val="none"/>
          <w:lang w:eastAsia="zh-CN"/>
          <w14:textFill>
            <w14:solidFill>
              <w14:schemeClr w14:val="tx1"/>
            </w14:solidFill>
          </w14:textFill>
        </w:rPr>
      </w:pPr>
      <w:r>
        <w:rPr>
          <w:rFonts w:hint="eastAsia" w:cs="仿宋_GB2312"/>
          <w:color w:val="000000" w:themeColor="text1"/>
          <w:sz w:val="24"/>
          <w:szCs w:val="24"/>
          <w:highlight w:val="none"/>
          <w:lang w:eastAsia="zh-CN"/>
          <w14:textFill>
            <w14:solidFill>
              <w14:schemeClr w14:val="tx1"/>
            </w14:solidFill>
          </w14:textFill>
        </w:rPr>
        <w:t>及时的总结和复盘，以便对项目后续的风险管理工作提供经验和预判。</w:t>
      </w:r>
    </w:p>
    <w:p>
      <w:pPr>
        <w:pStyle w:val="2"/>
        <w:numPr>
          <w:ilvl w:val="1"/>
          <w:numId w:val="0"/>
        </w:numPr>
        <w:bidi w:val="0"/>
        <w:ind w:leftChars="0"/>
        <w:rPr>
          <w:highlight w:val="none"/>
        </w:rPr>
      </w:pPr>
      <w:bookmarkStart w:id="193" w:name="_Toc19790"/>
      <w:bookmarkStart w:id="194" w:name="_Toc13226"/>
      <w:r>
        <w:rPr>
          <w:rFonts w:hint="eastAsia"/>
          <w:highlight w:val="none"/>
          <w:lang w:val="en-US" w:eastAsia="zh-CN"/>
        </w:rPr>
        <w:t>8.4.</w:t>
      </w:r>
      <w:r>
        <w:rPr>
          <w:rFonts w:hint="eastAsia"/>
          <w:highlight w:val="none"/>
        </w:rPr>
        <w:t>保密要求</w:t>
      </w:r>
      <w:bookmarkEnd w:id="193"/>
      <w:bookmarkEnd w:id="194"/>
    </w:p>
    <w:p>
      <w:pPr>
        <w:pStyle w:val="4"/>
        <w:numPr>
          <w:ilvl w:val="2"/>
          <w:numId w:val="0"/>
        </w:numPr>
        <w:bidi w:val="0"/>
        <w:ind w:leftChars="0"/>
        <w:rPr>
          <w:highlight w:val="none"/>
        </w:rPr>
      </w:pPr>
      <w:bookmarkStart w:id="195" w:name="_Toc9724"/>
      <w:bookmarkStart w:id="196" w:name="_Toc57805084"/>
      <w:bookmarkStart w:id="197" w:name="_Toc5775"/>
      <w:bookmarkStart w:id="198" w:name="_Toc525311374"/>
      <w:bookmarkStart w:id="199" w:name="_Toc525311306"/>
      <w:bookmarkStart w:id="200" w:name="_Toc66798791"/>
      <w:r>
        <w:rPr>
          <w:rFonts w:hint="eastAsia"/>
          <w:highlight w:val="none"/>
          <w:lang w:val="en-US" w:eastAsia="zh-CN"/>
        </w:rPr>
        <w:t>8.4.1</w:t>
      </w:r>
      <w:r>
        <w:rPr>
          <w:rFonts w:hint="eastAsia"/>
          <w:highlight w:val="none"/>
        </w:rPr>
        <w:t>系统安全保密要求</w:t>
      </w:r>
      <w:bookmarkEnd w:id="195"/>
      <w:bookmarkEnd w:id="196"/>
      <w:bookmarkEnd w:id="197"/>
      <w:bookmarkEnd w:id="198"/>
      <w:bookmarkEnd w:id="199"/>
      <w:bookmarkEnd w:id="200"/>
    </w:p>
    <w:p>
      <w:pPr>
        <w:ind w:firstLine="420"/>
        <w:jc w:val="left"/>
        <w:rPr>
          <w:rFonts w:ascii="Times New Roman" w:hAnsi="Times New Roman" w:eastAsia="宋体" w:cs="仿宋_GB2312"/>
          <w:color w:val="000000" w:themeColor="text1"/>
          <w:sz w:val="24"/>
          <w:szCs w:val="32"/>
          <w:highlight w:val="none"/>
          <w14:textFill>
            <w14:solidFill>
              <w14:schemeClr w14:val="tx1"/>
            </w14:solidFill>
          </w14:textFill>
        </w:rPr>
      </w:pPr>
      <w:bookmarkStart w:id="201" w:name="_Toc525311310"/>
      <w:bookmarkStart w:id="202" w:name="_Toc57805085"/>
      <w:bookmarkStart w:id="203" w:name="_Toc525311378"/>
      <w:r>
        <w:rPr>
          <w:rFonts w:hint="eastAsia" w:ascii="Times New Roman" w:hAnsi="Times New Roman" w:eastAsia="宋体" w:cs="仿宋_GB2312"/>
          <w:color w:val="000000" w:themeColor="text1"/>
          <w:sz w:val="24"/>
          <w:szCs w:val="32"/>
          <w:highlight w:val="none"/>
          <w14:textFill>
            <w14:solidFill>
              <w14:schemeClr w14:val="tx1"/>
            </w14:solidFill>
          </w14:textFill>
        </w:rPr>
        <w:t>网络应具备安全监测、实时入侵检测、病毒防范和用户访问控制等功能。应用安全防范措施，杜绝非法网络连接、匿名登录，对共享的敏感信息，应用信道加密、口令加密、信息加密和用户授权等方式加以保护。</w:t>
      </w:r>
      <w:bookmarkEnd w:id="201"/>
      <w:bookmarkEnd w:id="202"/>
      <w:bookmarkEnd w:id="203"/>
    </w:p>
    <w:p>
      <w:pPr>
        <w:ind w:firstLine="420"/>
        <w:jc w:val="left"/>
        <w:rPr>
          <w:rFonts w:ascii="Times New Roman" w:hAnsi="Times New Roman" w:eastAsia="宋体" w:cs="仿宋_GB2312"/>
          <w:color w:val="000000" w:themeColor="text1"/>
          <w:sz w:val="24"/>
          <w:szCs w:val="32"/>
          <w:highlight w:val="none"/>
          <w14:textFill>
            <w14:solidFill>
              <w14:schemeClr w14:val="tx1"/>
            </w14:solidFill>
          </w14:textFill>
        </w:rPr>
      </w:pPr>
      <w:bookmarkStart w:id="204" w:name="_Toc57805086"/>
      <w:bookmarkStart w:id="205" w:name="_Toc525311309"/>
      <w:bookmarkStart w:id="206" w:name="_Toc525311377"/>
      <w:r>
        <w:rPr>
          <w:rFonts w:hint="eastAsia" w:ascii="Times New Roman" w:hAnsi="Times New Roman" w:eastAsia="宋体" w:cs="仿宋_GB2312"/>
          <w:color w:val="000000" w:themeColor="text1"/>
          <w:sz w:val="24"/>
          <w:szCs w:val="32"/>
          <w:highlight w:val="none"/>
          <w14:textFill>
            <w14:solidFill>
              <w14:schemeClr w14:val="tx1"/>
            </w14:solidFill>
          </w14:textFill>
        </w:rPr>
        <w:t>网络应划分成合理网段，并应利用网络中间设备的安全机制控制各网段间的访问，通过路由器、防火墙、虚拟专用网络实现访问管理和事后监控。</w:t>
      </w:r>
      <w:bookmarkEnd w:id="204"/>
      <w:bookmarkEnd w:id="205"/>
      <w:bookmarkEnd w:id="206"/>
    </w:p>
    <w:p>
      <w:pPr>
        <w:ind w:firstLine="420"/>
        <w:jc w:val="left"/>
        <w:rPr>
          <w:rFonts w:hint="eastAsia" w:ascii="Times New Roman" w:hAnsi="Times New Roman" w:eastAsia="宋体" w:cs="仿宋_GB2312"/>
          <w:color w:val="000000" w:themeColor="text1"/>
          <w:sz w:val="24"/>
          <w:szCs w:val="32"/>
          <w:highlight w:val="none"/>
          <w:lang w:eastAsia="zh-CN"/>
          <w14:textFill>
            <w14:solidFill>
              <w14:schemeClr w14:val="tx1"/>
            </w14:solidFill>
          </w14:textFill>
        </w:rPr>
      </w:pPr>
      <w:bookmarkStart w:id="207" w:name="_Toc57805087"/>
      <w:r>
        <w:rPr>
          <w:rFonts w:hint="eastAsia" w:ascii="Times New Roman" w:hAnsi="Times New Roman" w:eastAsia="宋体" w:cs="仿宋_GB2312"/>
          <w:color w:val="000000" w:themeColor="text1"/>
          <w:sz w:val="24"/>
          <w:szCs w:val="32"/>
          <w:highlight w:val="none"/>
          <w14:textFill>
            <w14:solidFill>
              <w14:schemeClr w14:val="tx1"/>
            </w14:solidFill>
          </w14:textFill>
        </w:rPr>
        <w:t>应不断跟踪有关操作系统漏洞的发布信息，及时下载补丁，经测试不影响系统正常运行后再安装，进行防范</w:t>
      </w:r>
      <w:bookmarkEnd w:id="207"/>
      <w:r>
        <w:rPr>
          <w:rFonts w:hint="eastAsia" w:cs="仿宋_GB2312"/>
          <w:color w:val="000000" w:themeColor="text1"/>
          <w:sz w:val="24"/>
          <w:szCs w:val="32"/>
          <w:highlight w:val="none"/>
          <w:lang w:eastAsia="zh-CN"/>
          <w14:textFill>
            <w14:solidFill>
              <w14:schemeClr w14:val="tx1"/>
            </w14:solidFill>
          </w14:textFill>
        </w:rPr>
        <w:t>。</w:t>
      </w:r>
    </w:p>
    <w:p>
      <w:pPr>
        <w:ind w:firstLine="420"/>
        <w:jc w:val="left"/>
        <w:rPr>
          <w:rFonts w:ascii="Times New Roman" w:hAnsi="Times New Roman" w:eastAsia="宋体" w:cs="仿宋_GB2312"/>
          <w:color w:val="000000" w:themeColor="text1"/>
          <w:sz w:val="24"/>
          <w:szCs w:val="32"/>
          <w:highlight w:val="none"/>
          <w14:textFill>
            <w14:solidFill>
              <w14:schemeClr w14:val="tx1"/>
            </w14:solidFill>
          </w14:textFill>
        </w:rPr>
      </w:pPr>
      <w:bookmarkStart w:id="208" w:name="_Toc57805088"/>
      <w:bookmarkStart w:id="209" w:name="_Toc525311314"/>
      <w:bookmarkStart w:id="210" w:name="_Toc525311382"/>
      <w:r>
        <w:rPr>
          <w:rFonts w:hint="eastAsia" w:ascii="Times New Roman" w:hAnsi="Times New Roman" w:eastAsia="宋体" w:cs="仿宋_GB2312"/>
          <w:color w:val="000000" w:themeColor="text1"/>
          <w:sz w:val="24"/>
          <w:szCs w:val="32"/>
          <w:highlight w:val="none"/>
          <w14:textFill>
            <w14:solidFill>
              <w14:schemeClr w14:val="tx1"/>
            </w14:solidFill>
          </w14:textFill>
        </w:rPr>
        <w:t>涉及国家秘密的信息只能在保密计算机上存放和处理。保密计算机不能与保密专网以外的任何网络相连接。放置保密计算机的机柜必须上锁。用户使用的保密计算机只能是台式电脑，且须放置于上锁的保密机箱内。</w:t>
      </w:r>
      <w:bookmarkEnd w:id="208"/>
      <w:bookmarkEnd w:id="209"/>
      <w:bookmarkEnd w:id="210"/>
    </w:p>
    <w:p>
      <w:pPr>
        <w:ind w:firstLine="420"/>
        <w:jc w:val="left"/>
        <w:rPr>
          <w:rFonts w:ascii="Times New Roman" w:hAnsi="Times New Roman" w:eastAsia="宋体" w:cs="仿宋_GB2312"/>
          <w:color w:val="000000" w:themeColor="text1"/>
          <w:sz w:val="24"/>
          <w:szCs w:val="32"/>
          <w:highlight w:val="none"/>
          <w14:textFill>
            <w14:solidFill>
              <w14:schemeClr w14:val="tx1"/>
            </w14:solidFill>
          </w14:textFill>
        </w:rPr>
      </w:pPr>
      <w:bookmarkStart w:id="211" w:name="_Toc525311316"/>
      <w:bookmarkStart w:id="212" w:name="_Toc525311384"/>
      <w:bookmarkStart w:id="213" w:name="_Toc57805089"/>
      <w:r>
        <w:rPr>
          <w:rFonts w:hint="eastAsia" w:ascii="Times New Roman" w:hAnsi="Times New Roman" w:eastAsia="宋体" w:cs="仿宋_GB2312"/>
          <w:color w:val="000000" w:themeColor="text1"/>
          <w:sz w:val="24"/>
          <w:szCs w:val="32"/>
          <w:highlight w:val="none"/>
          <w14:textFill>
            <w14:solidFill>
              <w14:schemeClr w14:val="tx1"/>
            </w14:solidFill>
          </w14:textFill>
        </w:rPr>
        <w:t>未经招标方保密部门批准，不得擅自卸载或更换涉密信息系统的安全技术程序各管理程序软件。</w:t>
      </w:r>
      <w:bookmarkEnd w:id="211"/>
      <w:bookmarkEnd w:id="212"/>
      <w:bookmarkEnd w:id="213"/>
    </w:p>
    <w:p>
      <w:pPr>
        <w:ind w:firstLine="420"/>
        <w:jc w:val="left"/>
        <w:rPr>
          <w:rFonts w:ascii="Times New Roman" w:hAnsi="Times New Roman" w:eastAsia="宋体" w:cs="仿宋_GB2312"/>
          <w:color w:val="000000" w:themeColor="text1"/>
          <w:sz w:val="24"/>
          <w:szCs w:val="32"/>
          <w:highlight w:val="none"/>
          <w14:textFill>
            <w14:solidFill>
              <w14:schemeClr w14:val="tx1"/>
            </w14:solidFill>
          </w14:textFill>
        </w:rPr>
      </w:pPr>
      <w:bookmarkStart w:id="214" w:name="_Toc25956_WPSOffice_Level2"/>
      <w:bookmarkStart w:id="215" w:name="_Toc525311319"/>
      <w:bookmarkStart w:id="216" w:name="_Toc525311387"/>
      <w:bookmarkStart w:id="217" w:name="_Toc57805090"/>
      <w:r>
        <w:rPr>
          <w:rFonts w:hint="eastAsia" w:ascii="Times New Roman" w:hAnsi="Times New Roman" w:eastAsia="宋体" w:cs="仿宋_GB2312"/>
          <w:color w:val="000000" w:themeColor="text1"/>
          <w:sz w:val="24"/>
          <w:szCs w:val="32"/>
          <w:highlight w:val="none"/>
          <w14:textFill>
            <w14:solidFill>
              <w14:schemeClr w14:val="tx1"/>
            </w14:solidFill>
          </w14:textFill>
        </w:rPr>
        <w:t>智慧工地平台在建设过程严格依照中海油集团公司网络安全要求建设，将在建设过程开展相应安全建设等工作。</w:t>
      </w:r>
    </w:p>
    <w:p>
      <w:pPr>
        <w:pStyle w:val="4"/>
        <w:numPr>
          <w:ilvl w:val="2"/>
          <w:numId w:val="0"/>
        </w:numPr>
        <w:bidi w:val="0"/>
        <w:ind w:leftChars="0"/>
        <w:rPr>
          <w:highlight w:val="none"/>
        </w:rPr>
      </w:pPr>
      <w:bookmarkStart w:id="218" w:name="_Toc4926"/>
      <w:bookmarkStart w:id="219" w:name="_Toc66798792"/>
      <w:bookmarkStart w:id="220" w:name="_Toc24265"/>
      <w:r>
        <w:rPr>
          <w:rFonts w:hint="eastAsia"/>
          <w:highlight w:val="none"/>
          <w:lang w:val="en-US" w:eastAsia="zh-CN"/>
        </w:rPr>
        <w:t>8.4.2</w:t>
      </w:r>
      <w:r>
        <w:rPr>
          <w:rFonts w:hint="eastAsia"/>
          <w:highlight w:val="none"/>
        </w:rPr>
        <w:t>电子资料保密要求</w:t>
      </w:r>
      <w:bookmarkEnd w:id="214"/>
      <w:bookmarkEnd w:id="215"/>
      <w:bookmarkEnd w:id="216"/>
      <w:bookmarkEnd w:id="217"/>
      <w:bookmarkEnd w:id="218"/>
      <w:bookmarkEnd w:id="219"/>
      <w:bookmarkEnd w:id="220"/>
    </w:p>
    <w:p>
      <w:pPr>
        <w:ind w:firstLine="420"/>
        <w:jc w:val="left"/>
        <w:rPr>
          <w:rFonts w:hint="eastAsia" w:ascii="Times New Roman" w:hAnsi="Times New Roman" w:eastAsia="宋体" w:cs="仿宋_GB2312"/>
          <w:color w:val="000000" w:themeColor="text1"/>
          <w:sz w:val="24"/>
          <w:szCs w:val="32"/>
          <w:highlight w:val="none"/>
          <w14:textFill>
            <w14:solidFill>
              <w14:schemeClr w14:val="tx1"/>
            </w14:solidFill>
          </w14:textFill>
        </w:rPr>
      </w:pPr>
      <w:bookmarkStart w:id="221" w:name="_Toc525311320"/>
      <w:bookmarkStart w:id="222" w:name="_Toc525311388"/>
      <w:bookmarkStart w:id="223" w:name="_Toc57805091"/>
      <w:r>
        <w:rPr>
          <w:rFonts w:hint="eastAsia" w:ascii="Times New Roman" w:hAnsi="Times New Roman" w:eastAsia="宋体" w:cs="仿宋_GB2312"/>
          <w:color w:val="000000" w:themeColor="text1"/>
          <w:sz w:val="24"/>
          <w:szCs w:val="32"/>
          <w:highlight w:val="none"/>
          <w14:textFill>
            <w14:solidFill>
              <w14:schemeClr w14:val="tx1"/>
            </w14:solidFill>
          </w14:textFill>
        </w:rPr>
        <w:t>保密计算机、移动存储介质及涉密便携计算机等电子涉密载体的购置，由投标方按招标方有关规定采购，招标方保密部门负责登记建档。电子涉密载体应标明密级、保密期限、秘密信息内容、保管人和使用范围。</w:t>
      </w:r>
      <w:bookmarkEnd w:id="221"/>
      <w:bookmarkEnd w:id="222"/>
      <w:bookmarkEnd w:id="223"/>
    </w:p>
    <w:p>
      <w:pPr>
        <w:ind w:firstLine="420"/>
        <w:jc w:val="left"/>
        <w:rPr>
          <w:rFonts w:hint="eastAsia" w:ascii="Times New Roman" w:hAnsi="Times New Roman" w:eastAsia="宋体" w:cs="仿宋_GB2312"/>
          <w:color w:val="000000" w:themeColor="text1"/>
          <w:sz w:val="24"/>
          <w:szCs w:val="32"/>
          <w:highlight w:val="none"/>
          <w14:textFill>
            <w14:solidFill>
              <w14:schemeClr w14:val="tx1"/>
            </w14:solidFill>
          </w14:textFill>
        </w:rPr>
      </w:pPr>
      <w:bookmarkStart w:id="224" w:name="_Toc57805092"/>
      <w:bookmarkStart w:id="225" w:name="_Toc525311323"/>
      <w:bookmarkStart w:id="226" w:name="_Toc525311391"/>
      <w:r>
        <w:rPr>
          <w:rFonts w:hint="eastAsia" w:ascii="Times New Roman" w:hAnsi="Times New Roman" w:eastAsia="宋体" w:cs="仿宋_GB2312"/>
          <w:color w:val="000000" w:themeColor="text1"/>
          <w:sz w:val="24"/>
          <w:szCs w:val="32"/>
          <w:highlight w:val="none"/>
          <w14:textFill>
            <w14:solidFill>
              <w14:schemeClr w14:val="tx1"/>
            </w14:solidFill>
          </w14:textFill>
        </w:rPr>
        <w:t>严禁使用互联网传送未加密的数据资料。</w:t>
      </w:r>
      <w:bookmarkEnd w:id="224"/>
      <w:bookmarkEnd w:id="225"/>
      <w:bookmarkEnd w:id="226"/>
    </w:p>
    <w:p>
      <w:pPr>
        <w:ind w:firstLine="420"/>
        <w:jc w:val="left"/>
        <w:rPr>
          <w:rFonts w:hint="eastAsia" w:ascii="Times New Roman" w:hAnsi="Times New Roman" w:eastAsia="宋体" w:cs="仿宋_GB2312"/>
          <w:color w:val="000000" w:themeColor="text1"/>
          <w:sz w:val="24"/>
          <w:szCs w:val="32"/>
          <w:highlight w:val="none"/>
          <w14:textFill>
            <w14:solidFill>
              <w14:schemeClr w14:val="tx1"/>
            </w14:solidFill>
          </w14:textFill>
        </w:rPr>
      </w:pPr>
      <w:bookmarkStart w:id="227" w:name="_Toc57805093"/>
      <w:r>
        <w:rPr>
          <w:rFonts w:hint="eastAsia" w:ascii="Times New Roman" w:hAnsi="Times New Roman" w:eastAsia="宋体" w:cs="仿宋_GB2312"/>
          <w:color w:val="000000" w:themeColor="text1"/>
          <w:sz w:val="24"/>
          <w:szCs w:val="32"/>
          <w:highlight w:val="none"/>
          <w14:textFill>
            <w14:solidFill>
              <w14:schemeClr w14:val="tx1"/>
            </w14:solidFill>
          </w14:textFill>
        </w:rPr>
        <w:t>未经招标方负责人及公司分管领导批准，严谨外发程序文件、图纸、模型等任何项目资料。</w:t>
      </w:r>
      <w:bookmarkEnd w:id="227"/>
    </w:p>
    <w:bookmarkEnd w:id="159"/>
    <w:bookmarkEnd w:id="185"/>
    <w:bookmarkEnd w:id="186"/>
    <w:p>
      <w:pPr>
        <w:pStyle w:val="2"/>
        <w:numPr>
          <w:ilvl w:val="1"/>
          <w:numId w:val="0"/>
        </w:numPr>
        <w:bidi w:val="0"/>
        <w:ind w:leftChars="0"/>
        <w:rPr>
          <w:rFonts w:hint="default"/>
          <w:highlight w:val="none"/>
          <w:lang w:val="en-US" w:eastAsia="zh-CN"/>
        </w:rPr>
      </w:pPr>
      <w:bookmarkStart w:id="228" w:name="_Toc32078"/>
      <w:r>
        <w:rPr>
          <w:rFonts w:hint="eastAsia"/>
          <w:highlight w:val="none"/>
          <w:lang w:val="en-US" w:eastAsia="zh-CN"/>
        </w:rPr>
        <w:t>8.5.培训要求</w:t>
      </w:r>
      <w:bookmarkEnd w:id="228"/>
    </w:p>
    <w:p>
      <w:pPr>
        <w:ind w:firstLine="420"/>
        <w:rPr>
          <w:rStyle w:val="26"/>
          <w:rFonts w:hint="default" w:ascii="Times New Roman" w:hAnsi="Times New Roman" w:eastAsia="宋体" w:cs="仿宋_GB2312"/>
          <w:sz w:val="24"/>
          <w:szCs w:val="28"/>
          <w:highlight w:val="none"/>
          <w:lang w:val="en-US" w:eastAsia="zh-CN"/>
        </w:rPr>
      </w:pPr>
      <w:r>
        <w:rPr>
          <w:rStyle w:val="26"/>
          <w:rFonts w:hint="eastAsia" w:ascii="Times New Roman" w:hAnsi="Times New Roman" w:eastAsia="宋体" w:cs="仿宋_GB2312"/>
          <w:sz w:val="24"/>
          <w:szCs w:val="28"/>
          <w:highlight w:val="none"/>
        </w:rPr>
        <w:t>投标方需要为招标方定制培训方案（包括：培训教材、培训对象、目标、方式、计划、反馈等）来满足招标方的需要，培训工作由投标方承担，确保招标方有效的掌握智慧工地平台的技术、业务、管理、开发与维护等知识。投标方将为用户提供开发、管理、使用及维护等方面的培训，内容包括但不限于系统总体设计、系统操作等内容，培训时间及内容要丰富。</w:t>
      </w:r>
      <w:r>
        <w:rPr>
          <w:rStyle w:val="26"/>
          <w:rFonts w:hint="eastAsia" w:cs="仿宋_GB2312"/>
          <w:sz w:val="24"/>
          <w:szCs w:val="28"/>
          <w:highlight w:val="none"/>
          <w:lang w:val="en-US" w:eastAsia="zh-CN"/>
        </w:rPr>
        <w:t>具体要求如下：</w:t>
      </w:r>
    </w:p>
    <w:p>
      <w:pPr>
        <w:pStyle w:val="28"/>
        <w:numPr>
          <w:ilvl w:val="0"/>
          <w:numId w:val="0"/>
        </w:numPr>
        <w:ind w:firstLine="480" w:firstLineChars="200"/>
        <w:rPr>
          <w:rFonts w:hint="eastAsia" w:ascii="Times New Roman" w:hAnsi="Times New Roman" w:eastAsia="宋体" w:cs="仿宋_GB2312"/>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仿宋_GB2312"/>
          <w:color w:val="000000" w:themeColor="text1"/>
          <w:kern w:val="2"/>
          <w:sz w:val="24"/>
          <w:szCs w:val="24"/>
          <w:highlight w:val="none"/>
          <w:lang w:val="en-US" w:eastAsia="zh-CN" w:bidi="ar-SA"/>
          <w14:textFill>
            <w14:solidFill>
              <w14:schemeClr w14:val="tx1"/>
            </w14:solidFill>
          </w14:textFill>
        </w:rPr>
        <w:t>确保用户能够正确操作和使用项目交付的功能</w:t>
      </w:r>
      <w:r>
        <w:rPr>
          <w:rFonts w:hint="eastAsia" w:cs="仿宋_GB2312"/>
          <w:color w:val="000000" w:themeColor="text1"/>
          <w:kern w:val="2"/>
          <w:sz w:val="24"/>
          <w:szCs w:val="24"/>
          <w:highlight w:val="none"/>
          <w:lang w:val="en-US" w:eastAsia="zh-CN" w:bidi="ar-SA"/>
          <w14:textFill>
            <w14:solidFill>
              <w14:schemeClr w14:val="tx1"/>
            </w14:solidFill>
          </w14:textFill>
        </w:rPr>
        <w:t>。</w:t>
      </w:r>
    </w:p>
    <w:p>
      <w:pPr>
        <w:pStyle w:val="28"/>
        <w:numPr>
          <w:ilvl w:val="0"/>
          <w:numId w:val="0"/>
        </w:numPr>
        <w:ind w:firstLine="480" w:firstLineChars="200"/>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确保用户信息技术人员能够有效维护和管理系统，掌握诊断处理问题的方法论，合理有效的使用系统中所有安全保密的功能，能够运行、支持、维护和增强系统。</w:t>
      </w:r>
    </w:p>
    <w:p>
      <w:pPr>
        <w:pStyle w:val="28"/>
        <w:numPr>
          <w:ilvl w:val="0"/>
          <w:numId w:val="0"/>
        </w:numPr>
        <w:ind w:firstLine="480" w:firstLineChars="200"/>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确保招标方实施人员能够有效的参与实施活动，保证系统实施后的平滑移交。</w:t>
      </w:r>
    </w:p>
    <w:p>
      <w:pPr>
        <w:pStyle w:val="28"/>
        <w:numPr>
          <w:ilvl w:val="0"/>
          <w:numId w:val="0"/>
        </w:numPr>
        <w:ind w:firstLine="480" w:firstLineChars="200"/>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对培训及知识转移内容、方案、制度保障等方面进行阐述说明。</w:t>
      </w:r>
    </w:p>
    <w:p>
      <w:pPr>
        <w:pStyle w:val="2"/>
        <w:numPr>
          <w:ilvl w:val="1"/>
          <w:numId w:val="0"/>
        </w:numPr>
        <w:bidi w:val="0"/>
        <w:ind w:leftChars="0"/>
        <w:rPr>
          <w:highlight w:val="none"/>
        </w:rPr>
      </w:pPr>
      <w:bookmarkStart w:id="229" w:name="_Toc7765"/>
      <w:r>
        <w:rPr>
          <w:rFonts w:hint="eastAsia"/>
          <w:highlight w:val="none"/>
          <w:lang w:val="en-US" w:eastAsia="zh-CN"/>
        </w:rPr>
        <w:t>8.6.</w:t>
      </w:r>
      <w:r>
        <w:rPr>
          <w:rFonts w:hint="eastAsia"/>
          <w:highlight w:val="none"/>
        </w:rPr>
        <w:t>验收</w:t>
      </w:r>
      <w:r>
        <w:rPr>
          <w:rFonts w:hint="eastAsia"/>
          <w:highlight w:val="none"/>
          <w:lang w:val="en-US" w:eastAsia="zh-CN"/>
        </w:rPr>
        <w:t>要求</w:t>
      </w:r>
      <w:bookmarkEnd w:id="229"/>
    </w:p>
    <w:p>
      <w:pPr>
        <w:pStyle w:val="4"/>
        <w:numPr>
          <w:ilvl w:val="2"/>
          <w:numId w:val="0"/>
        </w:numPr>
        <w:bidi w:val="0"/>
        <w:ind w:leftChars="0"/>
        <w:rPr>
          <w:rFonts w:hint="default"/>
          <w:highlight w:val="none"/>
          <w:lang w:val="en-US" w:eastAsia="zh-CN"/>
        </w:rPr>
      </w:pPr>
      <w:bookmarkStart w:id="230" w:name="_Toc24298"/>
      <w:r>
        <w:rPr>
          <w:rFonts w:hint="eastAsia"/>
          <w:highlight w:val="none"/>
          <w:lang w:val="en-US" w:eastAsia="zh-CN"/>
        </w:rPr>
        <w:t>8.6.1硬件设备入场验收</w:t>
      </w:r>
      <w:bookmarkEnd w:id="230"/>
    </w:p>
    <w:p>
      <w:pPr>
        <w:pStyle w:val="28"/>
        <w:ind w:firstLine="484" w:firstLineChars="202"/>
        <w:rPr>
          <w:rStyle w:val="26"/>
          <w:rFonts w:ascii="Times New Roman" w:hAnsi="Times New Roman" w:eastAsia="宋体" w:cs="仿宋_GB2312"/>
          <w:sz w:val="24"/>
          <w:szCs w:val="24"/>
          <w:highlight w:val="none"/>
        </w:rPr>
      </w:pPr>
      <w:r>
        <w:rPr>
          <w:rStyle w:val="26"/>
          <w:rFonts w:hint="eastAsia" w:ascii="Times New Roman" w:hAnsi="Times New Roman" w:eastAsia="宋体" w:cs="仿宋_GB2312"/>
          <w:sz w:val="24"/>
          <w:szCs w:val="24"/>
          <w:highlight w:val="none"/>
        </w:rPr>
        <w:t>硬件设备应符合国家质量标准要求和招标要求，入场时须满足以下要求：</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bookmarkStart w:id="231" w:name="_Toc20028"/>
      <w:r>
        <w:rPr>
          <w:rFonts w:hint="eastAsia" w:cs="仿宋_GB2312"/>
          <w:color w:val="000000" w:themeColor="text1"/>
          <w:kern w:val="2"/>
          <w:sz w:val="24"/>
          <w:szCs w:val="24"/>
          <w:highlight w:val="none"/>
          <w:lang w:val="en-US" w:eastAsia="zh-CN" w:bidi="ar-SA"/>
          <w14:textFill>
            <w14:solidFill>
              <w14:schemeClr w14:val="tx1"/>
            </w14:solidFill>
          </w14:textFill>
        </w:rPr>
        <w:t>（1）检验和试验</w:t>
      </w:r>
      <w:bookmarkEnd w:id="231"/>
    </w:p>
    <w:p>
      <w:pPr>
        <w:pStyle w:val="28"/>
        <w:ind w:firstLine="484" w:firstLineChars="202"/>
        <w:rPr>
          <w:rStyle w:val="26"/>
          <w:rFonts w:ascii="Times New Roman" w:hAnsi="Times New Roman" w:eastAsia="宋体" w:cs="仿宋_GB2312"/>
          <w:sz w:val="24"/>
          <w:szCs w:val="24"/>
          <w:highlight w:val="none"/>
        </w:rPr>
      </w:pPr>
      <w:r>
        <w:rPr>
          <w:rStyle w:val="26"/>
          <w:rFonts w:hint="eastAsia" w:ascii="Times New Roman" w:hAnsi="Times New Roman" w:eastAsia="宋体" w:cs="仿宋_GB2312"/>
          <w:sz w:val="24"/>
          <w:szCs w:val="24"/>
          <w:highlight w:val="none"/>
        </w:rPr>
        <w:t>质量检验所有设备均应在制造厂进行质量检验。</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bookmarkStart w:id="232" w:name="_Toc1343"/>
      <w:r>
        <w:rPr>
          <w:rFonts w:hint="eastAsia" w:cs="仿宋_GB2312"/>
          <w:color w:val="000000" w:themeColor="text1"/>
          <w:kern w:val="2"/>
          <w:sz w:val="24"/>
          <w:szCs w:val="24"/>
          <w:highlight w:val="none"/>
          <w:lang w:val="en-US" w:eastAsia="zh-CN" w:bidi="ar-SA"/>
          <w14:textFill>
            <w14:solidFill>
              <w14:schemeClr w14:val="tx1"/>
            </w14:solidFill>
          </w14:textFill>
        </w:rPr>
        <w:t>（2）出厂证书和检验报告</w:t>
      </w:r>
      <w:bookmarkEnd w:id="232"/>
    </w:p>
    <w:p>
      <w:pPr>
        <w:pStyle w:val="28"/>
        <w:ind w:firstLine="484" w:firstLineChars="202"/>
        <w:rPr>
          <w:rStyle w:val="26"/>
          <w:rFonts w:ascii="Times New Roman" w:hAnsi="Times New Roman" w:eastAsia="宋体" w:cs="仿宋_GB2312"/>
          <w:sz w:val="24"/>
          <w:szCs w:val="24"/>
          <w:highlight w:val="none"/>
        </w:rPr>
      </w:pPr>
      <w:r>
        <w:rPr>
          <w:rStyle w:val="26"/>
          <w:rFonts w:hint="eastAsia" w:ascii="Times New Roman" w:hAnsi="Times New Roman" w:eastAsia="宋体" w:cs="仿宋_GB2312"/>
          <w:sz w:val="24"/>
          <w:szCs w:val="24"/>
          <w:highlight w:val="none"/>
        </w:rPr>
        <w:t>所供设备必须带有产品合格证书，并带产品检验报告及整体性能检验报告等。</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bookmarkStart w:id="233" w:name="_Toc13874"/>
      <w:r>
        <w:rPr>
          <w:rFonts w:hint="eastAsia" w:cs="仿宋_GB2312"/>
          <w:color w:val="000000" w:themeColor="text1"/>
          <w:kern w:val="2"/>
          <w:sz w:val="24"/>
          <w:szCs w:val="24"/>
          <w:highlight w:val="none"/>
          <w:lang w:val="en-US" w:eastAsia="zh-CN" w:bidi="ar-SA"/>
          <w14:textFill>
            <w14:solidFill>
              <w14:schemeClr w14:val="tx1"/>
            </w14:solidFill>
          </w14:textFill>
        </w:rPr>
        <w:t>（3）开箱验收</w:t>
      </w:r>
      <w:bookmarkEnd w:id="233"/>
    </w:p>
    <w:p>
      <w:pPr>
        <w:pStyle w:val="28"/>
        <w:ind w:firstLine="484" w:firstLineChars="202"/>
        <w:rPr>
          <w:rStyle w:val="26"/>
          <w:rFonts w:ascii="Times New Roman" w:hAnsi="Times New Roman" w:eastAsia="宋体" w:cs="仿宋_GB2312"/>
          <w:sz w:val="24"/>
          <w:szCs w:val="24"/>
          <w:highlight w:val="none"/>
        </w:rPr>
      </w:pPr>
      <w:r>
        <w:rPr>
          <w:rStyle w:val="26"/>
          <w:rFonts w:hint="eastAsia" w:ascii="Times New Roman" w:hAnsi="Times New Roman" w:eastAsia="宋体" w:cs="仿宋_GB2312"/>
          <w:sz w:val="24"/>
          <w:szCs w:val="24"/>
          <w:highlight w:val="none"/>
        </w:rPr>
        <w:t>设备到现场后，实施单位派人与</w:t>
      </w:r>
      <w:r>
        <w:rPr>
          <w:rStyle w:val="26"/>
          <w:rFonts w:hint="eastAsia" w:cs="仿宋_GB2312"/>
          <w:sz w:val="24"/>
          <w:szCs w:val="24"/>
          <w:highlight w:val="none"/>
          <w:lang w:eastAsia="zh-CN"/>
        </w:rPr>
        <w:t>建设单位</w:t>
      </w:r>
      <w:r>
        <w:rPr>
          <w:rStyle w:val="26"/>
          <w:rFonts w:hint="eastAsia" w:ascii="Times New Roman" w:hAnsi="Times New Roman" w:eastAsia="宋体" w:cs="仿宋_GB2312"/>
          <w:sz w:val="24"/>
          <w:szCs w:val="24"/>
          <w:highlight w:val="none"/>
        </w:rPr>
        <w:t>共同开箱检查，确认装箱单内容和设备外观完好情况。</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bookmarkStart w:id="234" w:name="_Toc12442"/>
      <w:r>
        <w:rPr>
          <w:rFonts w:hint="eastAsia" w:cs="仿宋_GB2312"/>
          <w:color w:val="000000" w:themeColor="text1"/>
          <w:kern w:val="2"/>
          <w:sz w:val="24"/>
          <w:szCs w:val="24"/>
          <w:highlight w:val="none"/>
          <w:lang w:val="en-US" w:eastAsia="zh-CN" w:bidi="ar-SA"/>
          <w14:textFill>
            <w14:solidFill>
              <w14:schemeClr w14:val="tx1"/>
            </w14:solidFill>
          </w14:textFill>
        </w:rPr>
        <w:t>（4）功能性测试</w:t>
      </w:r>
      <w:bookmarkEnd w:id="234"/>
    </w:p>
    <w:p>
      <w:pPr>
        <w:pStyle w:val="28"/>
        <w:ind w:firstLine="484" w:firstLineChars="202"/>
        <w:rPr>
          <w:rStyle w:val="26"/>
          <w:rFonts w:ascii="Times New Roman" w:hAnsi="Times New Roman" w:eastAsia="宋体" w:cs="仿宋_GB2312"/>
          <w:sz w:val="24"/>
          <w:szCs w:val="24"/>
          <w:highlight w:val="none"/>
        </w:rPr>
      </w:pPr>
      <w:r>
        <w:rPr>
          <w:rStyle w:val="26"/>
          <w:rFonts w:hint="eastAsia" w:ascii="Times New Roman" w:hAnsi="Times New Roman" w:eastAsia="宋体" w:cs="仿宋_GB2312"/>
          <w:sz w:val="24"/>
          <w:szCs w:val="24"/>
          <w:highlight w:val="none"/>
        </w:rPr>
        <w:t>为保证设备具有</w:t>
      </w:r>
      <w:r>
        <w:rPr>
          <w:rStyle w:val="26"/>
          <w:rFonts w:hint="eastAsia" w:cs="仿宋_GB2312"/>
          <w:sz w:val="24"/>
          <w:szCs w:val="24"/>
          <w:highlight w:val="none"/>
          <w:lang w:eastAsia="zh-CN"/>
        </w:rPr>
        <w:t>建设单位</w:t>
      </w:r>
      <w:r>
        <w:rPr>
          <w:rStyle w:val="26"/>
          <w:rFonts w:hint="eastAsia" w:ascii="Times New Roman" w:hAnsi="Times New Roman" w:eastAsia="宋体" w:cs="仿宋_GB2312"/>
          <w:sz w:val="24"/>
          <w:szCs w:val="24"/>
          <w:highlight w:val="none"/>
        </w:rPr>
        <w:t>所规定的所有功能，应进行功能性试验，并应提供测试报告。</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bookmarkStart w:id="235" w:name="_Toc11276"/>
      <w:r>
        <w:rPr>
          <w:rFonts w:hint="eastAsia" w:cs="仿宋_GB2312"/>
          <w:color w:val="000000" w:themeColor="text1"/>
          <w:kern w:val="2"/>
          <w:sz w:val="24"/>
          <w:szCs w:val="24"/>
          <w:highlight w:val="none"/>
          <w:lang w:val="en-US" w:eastAsia="zh-CN" w:bidi="ar-SA"/>
          <w14:textFill>
            <w14:solidFill>
              <w14:schemeClr w14:val="tx1"/>
            </w14:solidFill>
          </w14:textFill>
        </w:rPr>
        <w:t>（5）安装及现场调试</w:t>
      </w:r>
      <w:bookmarkEnd w:id="235"/>
    </w:p>
    <w:p>
      <w:pPr>
        <w:pStyle w:val="28"/>
        <w:ind w:firstLine="484" w:firstLineChars="202"/>
        <w:rPr>
          <w:rStyle w:val="26"/>
          <w:rFonts w:ascii="Times New Roman" w:hAnsi="Times New Roman" w:eastAsia="宋体" w:cs="仿宋_GB2312"/>
          <w:sz w:val="24"/>
          <w:szCs w:val="24"/>
          <w:highlight w:val="none"/>
        </w:rPr>
      </w:pPr>
      <w:r>
        <w:rPr>
          <w:rStyle w:val="26"/>
          <w:rFonts w:hint="eastAsia" w:ascii="Times New Roman" w:hAnsi="Times New Roman" w:eastAsia="宋体" w:cs="仿宋_GB2312"/>
          <w:sz w:val="24"/>
          <w:szCs w:val="24"/>
          <w:highlight w:val="none"/>
        </w:rPr>
        <w:t>由实施单位派有经验的工程师到现场指导，协助完成系统及设备进行试运。</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bookmarkStart w:id="236" w:name="_Toc613"/>
      <w:r>
        <w:rPr>
          <w:rFonts w:hint="eastAsia" w:cs="仿宋_GB2312"/>
          <w:color w:val="000000" w:themeColor="text1"/>
          <w:kern w:val="2"/>
          <w:sz w:val="24"/>
          <w:szCs w:val="24"/>
          <w:highlight w:val="none"/>
          <w:lang w:val="en-US" w:eastAsia="zh-CN" w:bidi="ar-SA"/>
          <w14:textFill>
            <w14:solidFill>
              <w14:schemeClr w14:val="tx1"/>
            </w14:solidFill>
          </w14:textFill>
        </w:rPr>
        <w:t>（6）标记</w:t>
      </w:r>
      <w:bookmarkEnd w:id="236"/>
    </w:p>
    <w:p>
      <w:pPr>
        <w:pStyle w:val="28"/>
        <w:ind w:firstLine="484" w:firstLineChars="202"/>
        <w:rPr>
          <w:rStyle w:val="26"/>
          <w:rFonts w:ascii="Times New Roman" w:hAnsi="Times New Roman" w:eastAsia="宋体" w:cs="仿宋_GB2312"/>
          <w:sz w:val="24"/>
          <w:szCs w:val="24"/>
          <w:highlight w:val="none"/>
        </w:rPr>
      </w:pPr>
      <w:r>
        <w:rPr>
          <w:rStyle w:val="26"/>
          <w:rFonts w:hint="eastAsia" w:ascii="Times New Roman" w:hAnsi="Times New Roman" w:eastAsia="宋体" w:cs="仿宋_GB2312"/>
          <w:sz w:val="24"/>
          <w:szCs w:val="24"/>
          <w:highlight w:val="none"/>
        </w:rPr>
        <w:t>设备应标有铭牌，采用防腐的金属材料制成，且应安装牢固并易于观察。</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bookmarkStart w:id="237" w:name="_Toc19256"/>
      <w:r>
        <w:rPr>
          <w:rFonts w:hint="eastAsia" w:cs="仿宋_GB2312"/>
          <w:color w:val="000000" w:themeColor="text1"/>
          <w:kern w:val="2"/>
          <w:sz w:val="24"/>
          <w:szCs w:val="24"/>
          <w:highlight w:val="none"/>
          <w:lang w:val="en-US" w:eastAsia="zh-CN" w:bidi="ar-SA"/>
          <w14:textFill>
            <w14:solidFill>
              <w14:schemeClr w14:val="tx1"/>
            </w14:solidFill>
          </w14:textFill>
        </w:rPr>
        <w:t>（7）运输要求</w:t>
      </w:r>
      <w:bookmarkEnd w:id="237"/>
    </w:p>
    <w:p>
      <w:pPr>
        <w:pStyle w:val="28"/>
        <w:ind w:firstLine="484" w:firstLineChars="202"/>
        <w:rPr>
          <w:rStyle w:val="26"/>
          <w:rFonts w:ascii="Times New Roman" w:hAnsi="Times New Roman" w:eastAsia="宋体" w:cs="仿宋_GB2312"/>
          <w:sz w:val="24"/>
          <w:szCs w:val="24"/>
          <w:highlight w:val="none"/>
        </w:rPr>
      </w:pPr>
      <w:r>
        <w:rPr>
          <w:rStyle w:val="26"/>
          <w:rFonts w:hint="eastAsia" w:ascii="Times New Roman" w:hAnsi="Times New Roman" w:eastAsia="宋体" w:cs="仿宋_GB2312"/>
          <w:sz w:val="24"/>
          <w:szCs w:val="24"/>
          <w:highlight w:val="none"/>
        </w:rPr>
        <w:t>系统设备应妥善包装，运往</w:t>
      </w:r>
      <w:r>
        <w:rPr>
          <w:rStyle w:val="26"/>
          <w:rFonts w:hint="eastAsia" w:cs="仿宋_GB2312"/>
          <w:sz w:val="24"/>
          <w:szCs w:val="24"/>
          <w:highlight w:val="none"/>
          <w:lang w:eastAsia="zh-CN"/>
        </w:rPr>
        <w:t>建设单位</w:t>
      </w:r>
      <w:r>
        <w:rPr>
          <w:rStyle w:val="26"/>
          <w:rFonts w:hint="eastAsia" w:ascii="Times New Roman" w:hAnsi="Times New Roman" w:eastAsia="宋体" w:cs="仿宋_GB2312"/>
          <w:sz w:val="24"/>
          <w:szCs w:val="24"/>
          <w:highlight w:val="none"/>
        </w:rPr>
        <w:t>的安装现场。包装材料、箱子以及固定方法应达到国际运输标准，防止运输及存库过程中出现损坏或腐蚀现象。</w:t>
      </w:r>
    </w:p>
    <w:p>
      <w:pPr>
        <w:pStyle w:val="28"/>
        <w:ind w:firstLine="484" w:firstLineChars="202"/>
        <w:rPr>
          <w:rStyle w:val="26"/>
          <w:rFonts w:ascii="Times New Roman" w:hAnsi="Times New Roman" w:eastAsia="宋体" w:cs="仿宋_GB2312"/>
          <w:sz w:val="24"/>
          <w:szCs w:val="24"/>
          <w:highlight w:val="none"/>
        </w:rPr>
      </w:pPr>
      <w:r>
        <w:rPr>
          <w:rStyle w:val="26"/>
          <w:rFonts w:hint="eastAsia" w:ascii="Times New Roman" w:hAnsi="Times New Roman" w:eastAsia="宋体" w:cs="仿宋_GB2312"/>
          <w:sz w:val="24"/>
          <w:szCs w:val="24"/>
          <w:highlight w:val="none"/>
        </w:rPr>
        <w:t>所有的玻璃都要盖上纸板或加木制保护层。所有的开口都应加盖密封，防止异物进入。实施单位应说明包装所用的干燥剂和防腐剂，更换次数以及其它特殊要求。</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bookmarkStart w:id="238" w:name="_Toc23382"/>
      <w:r>
        <w:rPr>
          <w:rFonts w:hint="eastAsia" w:cs="仿宋_GB2312"/>
          <w:color w:val="000000" w:themeColor="text1"/>
          <w:kern w:val="2"/>
          <w:sz w:val="24"/>
          <w:szCs w:val="24"/>
          <w:highlight w:val="none"/>
          <w:lang w:val="en-US" w:eastAsia="zh-CN" w:bidi="ar-SA"/>
          <w14:textFill>
            <w14:solidFill>
              <w14:schemeClr w14:val="tx1"/>
            </w14:solidFill>
          </w14:textFill>
        </w:rPr>
        <w:t>（8）设备资料</w:t>
      </w:r>
      <w:bookmarkEnd w:id="238"/>
    </w:p>
    <w:p>
      <w:pPr>
        <w:pStyle w:val="28"/>
        <w:ind w:firstLine="484" w:firstLineChars="202"/>
        <w:rPr>
          <w:rStyle w:val="26"/>
          <w:rFonts w:ascii="Times New Roman" w:hAnsi="Times New Roman" w:eastAsia="宋体" w:cs="仿宋_GB2312"/>
          <w:sz w:val="24"/>
          <w:szCs w:val="24"/>
          <w:highlight w:val="none"/>
        </w:rPr>
      </w:pPr>
      <w:r>
        <w:rPr>
          <w:rStyle w:val="26"/>
          <w:rFonts w:hint="eastAsia" w:ascii="Times New Roman" w:hAnsi="Times New Roman" w:eastAsia="宋体" w:cs="仿宋_GB2312"/>
          <w:sz w:val="24"/>
          <w:szCs w:val="24"/>
          <w:highlight w:val="none"/>
        </w:rPr>
        <w:t>设备交货时供应商应至少提供下列技术文件，如有其它问题需要说明时，也需以正式的文件形式进行提交；</w:t>
      </w:r>
    </w:p>
    <w:p>
      <w:pPr>
        <w:pStyle w:val="28"/>
        <w:numPr>
          <w:ilvl w:val="0"/>
          <w:numId w:val="27"/>
        </w:numPr>
        <w:ind w:left="0" w:leftChars="0" w:firstLine="480" w:firstLineChars="200"/>
        <w:rPr>
          <w:rStyle w:val="26"/>
          <w:rFonts w:hint="eastAsia" w:ascii="Times New Roman" w:hAnsi="Times New Roman" w:eastAsia="宋体" w:cs="仿宋_GB2312"/>
          <w:sz w:val="24"/>
          <w:szCs w:val="32"/>
          <w:highlight w:val="none"/>
          <w:lang w:val="fr-FR"/>
        </w:rPr>
      </w:pPr>
      <w:r>
        <w:rPr>
          <w:rStyle w:val="26"/>
          <w:rFonts w:hint="eastAsia" w:ascii="Times New Roman" w:hAnsi="Times New Roman" w:eastAsia="宋体" w:cs="仿宋_GB2312"/>
          <w:sz w:val="24"/>
          <w:szCs w:val="32"/>
          <w:highlight w:val="none"/>
          <w:lang w:val="fr-FR"/>
        </w:rPr>
        <w:t>材料质量证明书及材料生产厂家；</w:t>
      </w:r>
    </w:p>
    <w:p>
      <w:pPr>
        <w:pStyle w:val="28"/>
        <w:numPr>
          <w:ilvl w:val="0"/>
          <w:numId w:val="27"/>
        </w:numPr>
        <w:ind w:left="0" w:leftChars="0" w:firstLine="480" w:firstLineChars="200"/>
        <w:rPr>
          <w:rStyle w:val="26"/>
          <w:rFonts w:hint="eastAsia" w:ascii="Times New Roman" w:hAnsi="Times New Roman" w:eastAsia="宋体" w:cs="仿宋_GB2312"/>
          <w:sz w:val="24"/>
          <w:szCs w:val="32"/>
          <w:highlight w:val="none"/>
          <w:lang w:val="fr-FR"/>
        </w:rPr>
      </w:pPr>
      <w:r>
        <w:rPr>
          <w:rStyle w:val="26"/>
          <w:rFonts w:hint="eastAsia" w:ascii="Times New Roman" w:hAnsi="Times New Roman" w:eastAsia="宋体" w:cs="仿宋_GB2312"/>
          <w:sz w:val="24"/>
          <w:szCs w:val="32"/>
          <w:highlight w:val="none"/>
          <w:lang w:val="fr-FR"/>
        </w:rPr>
        <w:t>产品合格证；</w:t>
      </w:r>
    </w:p>
    <w:p>
      <w:pPr>
        <w:pStyle w:val="28"/>
        <w:numPr>
          <w:ilvl w:val="0"/>
          <w:numId w:val="27"/>
        </w:numPr>
        <w:ind w:left="0" w:leftChars="0" w:firstLine="480" w:firstLineChars="200"/>
        <w:rPr>
          <w:rStyle w:val="26"/>
          <w:rFonts w:hint="eastAsia" w:ascii="Times New Roman" w:hAnsi="Times New Roman" w:eastAsia="宋体" w:cs="仿宋_GB2312"/>
          <w:sz w:val="24"/>
          <w:szCs w:val="32"/>
          <w:highlight w:val="none"/>
          <w:lang w:val="fr-FR"/>
        </w:rPr>
      </w:pPr>
      <w:r>
        <w:rPr>
          <w:rStyle w:val="26"/>
          <w:rFonts w:hint="eastAsia" w:ascii="Times New Roman" w:hAnsi="Times New Roman" w:eastAsia="宋体" w:cs="仿宋_GB2312"/>
          <w:sz w:val="24"/>
          <w:szCs w:val="32"/>
          <w:highlight w:val="none"/>
          <w:lang w:val="fr-FR"/>
        </w:rPr>
        <w:t>设备备品备件和专用工具清单；</w:t>
      </w:r>
    </w:p>
    <w:p>
      <w:pPr>
        <w:pStyle w:val="28"/>
        <w:numPr>
          <w:ilvl w:val="0"/>
          <w:numId w:val="27"/>
        </w:numPr>
        <w:ind w:left="0" w:leftChars="0" w:firstLine="480" w:firstLineChars="200"/>
        <w:rPr>
          <w:rStyle w:val="26"/>
          <w:rFonts w:hint="eastAsia" w:ascii="Times New Roman" w:hAnsi="Times New Roman" w:eastAsia="宋体" w:cs="仿宋_GB2312"/>
          <w:sz w:val="24"/>
          <w:szCs w:val="32"/>
          <w:highlight w:val="none"/>
          <w:lang w:val="fr-FR"/>
        </w:rPr>
      </w:pPr>
      <w:r>
        <w:rPr>
          <w:rStyle w:val="26"/>
          <w:rFonts w:hint="eastAsia" w:ascii="Times New Roman" w:hAnsi="Times New Roman" w:eastAsia="宋体" w:cs="仿宋_GB2312"/>
          <w:sz w:val="24"/>
          <w:szCs w:val="32"/>
          <w:highlight w:val="none"/>
          <w:lang w:val="fr-FR"/>
        </w:rPr>
        <w:t>装箱单（包括随机文件）；</w:t>
      </w:r>
    </w:p>
    <w:p>
      <w:pPr>
        <w:pStyle w:val="28"/>
        <w:numPr>
          <w:ilvl w:val="0"/>
          <w:numId w:val="27"/>
        </w:numPr>
        <w:ind w:left="0" w:leftChars="0" w:firstLine="480" w:firstLineChars="200"/>
        <w:rPr>
          <w:highlight w:val="none"/>
          <w:lang w:val="en-US"/>
        </w:rPr>
      </w:pPr>
      <w:r>
        <w:rPr>
          <w:rStyle w:val="26"/>
          <w:rFonts w:hint="eastAsia" w:ascii="Times New Roman" w:hAnsi="Times New Roman" w:eastAsia="宋体" w:cs="仿宋_GB2312"/>
          <w:sz w:val="24"/>
          <w:szCs w:val="32"/>
          <w:highlight w:val="none"/>
          <w:lang w:val="fr-FR"/>
        </w:rPr>
        <w:t>安装施工操作指导书。</w:t>
      </w:r>
    </w:p>
    <w:p>
      <w:pPr>
        <w:pStyle w:val="4"/>
        <w:numPr>
          <w:ilvl w:val="2"/>
          <w:numId w:val="0"/>
        </w:numPr>
        <w:bidi w:val="0"/>
        <w:ind w:leftChars="0"/>
        <w:rPr>
          <w:highlight w:val="none"/>
        </w:rPr>
      </w:pPr>
      <w:bookmarkStart w:id="239" w:name="_Toc9695"/>
      <w:bookmarkStart w:id="240" w:name="_Toc450856176"/>
      <w:bookmarkStart w:id="241" w:name="_Toc70416640"/>
      <w:bookmarkStart w:id="242" w:name="_Toc3067"/>
      <w:bookmarkStart w:id="243" w:name="_Toc12263814"/>
      <w:r>
        <w:rPr>
          <w:rFonts w:hint="eastAsia"/>
          <w:highlight w:val="none"/>
          <w:lang w:val="en-US" w:eastAsia="zh-CN"/>
        </w:rPr>
        <w:t>8.6.2竣工文件验收</w:t>
      </w:r>
      <w:bookmarkEnd w:id="239"/>
    </w:p>
    <w:p>
      <w:pPr>
        <w:pStyle w:val="28"/>
        <w:rPr>
          <w:rStyle w:val="26"/>
          <w:rFonts w:ascii="Times New Roman" w:hAnsi="Times New Roman" w:eastAsia="宋体" w:cs="仿宋_GB2312"/>
          <w:sz w:val="24"/>
          <w:szCs w:val="28"/>
          <w:highlight w:val="none"/>
        </w:rPr>
      </w:pPr>
      <w:r>
        <w:rPr>
          <w:rStyle w:val="26"/>
          <w:rFonts w:hint="eastAsia" w:ascii="Times New Roman" w:hAnsi="Times New Roman" w:eastAsia="宋体" w:cs="仿宋_GB2312"/>
          <w:sz w:val="24"/>
          <w:szCs w:val="28"/>
          <w:highlight w:val="none"/>
        </w:rPr>
        <w:t>项目完成后，投标方将向招标方递交相应的文件资料，主要包含：投标文件、项目启动文件、项目计划</w:t>
      </w:r>
      <w:r>
        <w:rPr>
          <w:rStyle w:val="26"/>
          <w:rFonts w:hint="eastAsia" w:cs="仿宋_GB2312"/>
          <w:sz w:val="24"/>
          <w:szCs w:val="28"/>
          <w:highlight w:val="none"/>
          <w:lang w:eastAsia="zh-CN"/>
        </w:rPr>
        <w:t>、</w:t>
      </w:r>
      <w:r>
        <w:rPr>
          <w:rStyle w:val="26"/>
          <w:rFonts w:hint="eastAsia" w:ascii="Times New Roman" w:hAnsi="Times New Roman" w:eastAsia="宋体" w:cs="仿宋_GB2312"/>
          <w:sz w:val="24"/>
          <w:szCs w:val="28"/>
          <w:highlight w:val="none"/>
        </w:rPr>
        <w:t>组织架构；各</w:t>
      </w:r>
      <w:r>
        <w:rPr>
          <w:rStyle w:val="26"/>
          <w:rFonts w:hint="eastAsia" w:cs="仿宋_GB2312"/>
          <w:sz w:val="24"/>
          <w:szCs w:val="28"/>
          <w:highlight w:val="none"/>
          <w:lang w:val="en-US" w:eastAsia="zh-CN"/>
        </w:rPr>
        <w:t>硬件</w:t>
      </w:r>
      <w:r>
        <w:rPr>
          <w:rStyle w:val="26"/>
          <w:rFonts w:hint="eastAsia" w:ascii="Times New Roman" w:hAnsi="Times New Roman" w:eastAsia="宋体" w:cs="仿宋_GB2312"/>
          <w:sz w:val="24"/>
          <w:szCs w:val="28"/>
          <w:highlight w:val="none"/>
        </w:rPr>
        <w:t>系统</w:t>
      </w:r>
      <w:r>
        <w:rPr>
          <w:rStyle w:val="26"/>
          <w:rFonts w:hint="eastAsia" w:cs="仿宋_GB2312"/>
          <w:sz w:val="24"/>
          <w:szCs w:val="28"/>
          <w:highlight w:val="none"/>
          <w:lang w:val="en-US" w:eastAsia="zh-CN"/>
        </w:rPr>
        <w:t>图及</w:t>
      </w:r>
      <w:r>
        <w:rPr>
          <w:rStyle w:val="26"/>
          <w:rFonts w:hint="eastAsia" w:ascii="Times New Roman" w:hAnsi="Times New Roman" w:eastAsia="宋体" w:cs="仿宋_GB2312"/>
          <w:sz w:val="24"/>
          <w:szCs w:val="28"/>
          <w:highlight w:val="none"/>
        </w:rPr>
        <w:t>平面布置图；项目实施方案；运维服务方案；系统安装程序</w:t>
      </w:r>
      <w:r>
        <w:rPr>
          <w:rStyle w:val="26"/>
          <w:rFonts w:hint="eastAsia" w:cs="仿宋_GB2312"/>
          <w:sz w:val="24"/>
          <w:szCs w:val="28"/>
          <w:highlight w:val="none"/>
          <w:lang w:val="en-US" w:eastAsia="zh-CN"/>
        </w:rPr>
        <w:t>及配置参数</w:t>
      </w:r>
      <w:r>
        <w:rPr>
          <w:rStyle w:val="26"/>
          <w:rFonts w:hint="eastAsia" w:ascii="Times New Roman" w:hAnsi="Times New Roman" w:eastAsia="宋体" w:cs="仿宋_GB2312"/>
          <w:sz w:val="24"/>
          <w:szCs w:val="28"/>
          <w:highlight w:val="none"/>
        </w:rPr>
        <w:t>；系统及设备运行和维护所必需的原始资料、系统管理维护说明书、用户操作手册、应急方案、项目工作总结等。</w:t>
      </w:r>
    </w:p>
    <w:bookmarkEnd w:id="240"/>
    <w:bookmarkEnd w:id="241"/>
    <w:bookmarkEnd w:id="242"/>
    <w:bookmarkEnd w:id="243"/>
    <w:p>
      <w:pPr>
        <w:pStyle w:val="4"/>
        <w:numPr>
          <w:ilvl w:val="2"/>
          <w:numId w:val="0"/>
        </w:numPr>
        <w:bidi w:val="0"/>
        <w:ind w:leftChars="0"/>
        <w:rPr>
          <w:highlight w:val="none"/>
          <w:lang w:val="en-US"/>
        </w:rPr>
      </w:pPr>
      <w:bookmarkStart w:id="244" w:name="_Toc7123"/>
      <w:r>
        <w:rPr>
          <w:rFonts w:hint="eastAsia"/>
          <w:highlight w:val="none"/>
          <w:lang w:val="en-US" w:eastAsia="zh-CN"/>
        </w:rPr>
        <w:t>8.6.3最终验收</w:t>
      </w:r>
      <w:bookmarkEnd w:id="244"/>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（1）项目系统设备安装调试完成（满足系统全部功能的前提下，一次安装完成），平稳运行3个月以上；</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（2）技术文档齐全，符合国家规范要求和相关部门的技术要求；</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（3）根据技术标准、建设规范，检查各项技术指标符合要求；</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（4）建设项目的设计符合国家或有关部门的规范要求；</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（5）运行管理人员和操作使用人员的培训达到熟练操作的程度；</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（6）项目各阶段可交付成果物健全；</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（7）验收组给出验收意见和结论，《总体验收报告》签字，结论分为合格及以上。</w:t>
      </w:r>
    </w:p>
    <w:p>
      <w:pPr>
        <w:pStyle w:val="2"/>
        <w:numPr>
          <w:ilvl w:val="1"/>
          <w:numId w:val="0"/>
        </w:numPr>
        <w:bidi w:val="0"/>
        <w:ind w:leftChars="0"/>
        <w:rPr>
          <w:rFonts w:hint="eastAsia"/>
          <w:highlight w:val="none"/>
          <w:lang w:val="en-US" w:eastAsia="zh-CN"/>
        </w:rPr>
      </w:pPr>
      <w:bookmarkStart w:id="245" w:name="_Toc27310"/>
      <w:r>
        <w:rPr>
          <w:rFonts w:hint="eastAsia"/>
          <w:highlight w:val="none"/>
          <w:lang w:val="en-US" w:eastAsia="zh-CN"/>
        </w:rPr>
        <w:t>8.7运维要求</w:t>
      </w:r>
      <w:bookmarkEnd w:id="245"/>
    </w:p>
    <w:p>
      <w:pPr>
        <w:pStyle w:val="4"/>
        <w:numPr>
          <w:ilvl w:val="2"/>
          <w:numId w:val="0"/>
        </w:numPr>
        <w:bidi w:val="0"/>
        <w:ind w:leftChars="0"/>
        <w:rPr>
          <w:highlight w:val="none"/>
        </w:rPr>
      </w:pPr>
      <w:bookmarkStart w:id="246" w:name="_Toc134823132"/>
      <w:bookmarkStart w:id="247" w:name="_Toc3643"/>
      <w:bookmarkStart w:id="248" w:name="_Toc16571"/>
      <w:bookmarkStart w:id="249" w:name="_Toc30822"/>
      <w:bookmarkStart w:id="250" w:name="_Toc11953"/>
      <w:bookmarkStart w:id="251" w:name="_Toc9328"/>
      <w:r>
        <w:rPr>
          <w:rFonts w:hint="eastAsia"/>
          <w:highlight w:val="none"/>
          <w:lang w:val="en-US" w:eastAsia="zh-CN"/>
        </w:rPr>
        <w:t>8.7.1</w:t>
      </w:r>
      <w:r>
        <w:rPr>
          <w:rFonts w:hint="eastAsia"/>
          <w:highlight w:val="none"/>
        </w:rPr>
        <w:t>运维服务要求</w:t>
      </w:r>
      <w:bookmarkEnd w:id="246"/>
      <w:bookmarkEnd w:id="247"/>
      <w:bookmarkEnd w:id="248"/>
      <w:bookmarkEnd w:id="249"/>
      <w:bookmarkEnd w:id="250"/>
      <w:bookmarkEnd w:id="251"/>
    </w:p>
    <w:p>
      <w:pPr>
        <w:pStyle w:val="28"/>
        <w:rPr>
          <w:rStyle w:val="26"/>
          <w:rFonts w:ascii="Times New Roman" w:hAnsi="Times New Roman" w:eastAsia="宋体" w:cs="仿宋_GB2312"/>
          <w:sz w:val="24"/>
          <w:szCs w:val="28"/>
          <w:highlight w:val="none"/>
        </w:rPr>
      </w:pPr>
      <w:r>
        <w:rPr>
          <w:rStyle w:val="26"/>
          <w:rFonts w:hint="eastAsia" w:ascii="Times New Roman" w:hAnsi="Times New Roman" w:eastAsia="宋体" w:cs="仿宋_GB2312"/>
          <w:sz w:val="24"/>
          <w:szCs w:val="28"/>
          <w:highlight w:val="none"/>
        </w:rPr>
        <w:t>投标方应提供全面、有效、及时的技术支持和售后运维服务，包含但不仅限于以下服务内容：</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（1）投标方应在聚碳项目建设地点安排全职的硬件设施的运维工程师，负责智慧工地项目全部硬件系统及设备的售后服务或运行维护。</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（2）投标方供货范围内的产品在运维期内，投标方应确保所有零备件的供应，国内采购的调配时间不超过48小时。国外采购的调配时间不超过20天。</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（3）投标方及其主要设备供应商应出示其在国内设立的办事处等服务网点清单，并以书面形式说明将给建设单位以优质的售后服务保证。</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4）在运行维护期内，投标方负责对建设单位提出的质量异议做出书面明确答复。对于投标方责任引起的质量问题或系统故障，投标方应免费为建设单位更换设备或材料、维修和装运以及现场劳务服务，排除故障恢复系统正常运行。</w:t>
      </w:r>
    </w:p>
    <w:p>
      <w:pPr>
        <w:pStyle w:val="28"/>
        <w:numPr>
          <w:ilvl w:val="0"/>
          <w:numId w:val="0"/>
        </w:numPr>
        <w:rPr>
          <w:rFonts w:hint="default"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（5）在运行维护期内，投标方如出现硬件系统及设备无法正常使用情况，投标方负责修理，维修产生的费用由责任方负责支付。</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6）在本项目的建设和运维期间投标方应提供现场驻场维护服务不低于2人，保证招标方可以随时找到相应的技术人员，维修响应不超过8小时，驻场维护服务人员的资质要求包括电气工程师证书、高空作业证书及安防工程企业设计施工维护能力证书等；</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（7）投标方应提供应急人员和技术支持人员的名单和联系方式；</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（8）若关于智慧工地的要求和需求发生非实质性需求变更时，在本工程项目建设期结束之前投标方应免费对系统进行相应的修改；</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（9）在服务期之后，投标方应以优惠价格对系统进行服务支持；</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（10）要求在招标方指定的办公场所进行人员信息录入，人员办卡，故障处理等工作。</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11）运行维护期结束后，投标方根据建设单位要求，将智慧工地项目不再需要保留的设施予以拆除后、安放或退库至建设单位制定地点，所有物资归建设单位所有，拆除、安放或退库产生的人为损失由投标方承担。</w:t>
      </w:r>
    </w:p>
    <w:p>
      <w:pPr>
        <w:pStyle w:val="4"/>
        <w:numPr>
          <w:ilvl w:val="2"/>
          <w:numId w:val="0"/>
        </w:numPr>
        <w:bidi w:val="0"/>
        <w:ind w:leftChars="0"/>
        <w:rPr>
          <w:rFonts w:hint="default"/>
          <w:highlight w:val="none"/>
          <w:lang w:val="en-US" w:eastAsia="zh-CN"/>
        </w:rPr>
      </w:pPr>
      <w:bookmarkStart w:id="252" w:name="_Toc31512"/>
      <w:r>
        <w:rPr>
          <w:rFonts w:hint="eastAsia"/>
          <w:highlight w:val="none"/>
          <w:lang w:val="en-US" w:eastAsia="zh-CN"/>
        </w:rPr>
        <w:t>8.7.2工作纪律要求</w:t>
      </w:r>
      <w:bookmarkEnd w:id="252"/>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（1）智慧工地系统由投标方安排运维人员值守，负责智慧工地系统及机房各系统正常运行。</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2）监控机房运维人员不得迟到、早退，当班时不得脱岗，不得睡觉或干与工作无关的事情，不得利用监控机房计算机做与监控工作无关的其他事情，不得随意在监控主机系统中安装无关程序、删除系统中的任一程序、改动系统预先设置的参数，不得利用监控机房故意偷窥、偷拍、窃听、散布他人隐私。</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3）严禁盗窃、损毁视频系统设施、设备，严禁故意设置障碍，如故意遮挡摄像镜头等。任何人不得擅自复制、提供、传播监控机房数据资料（包括图像信息资料，数据信息），不得擅自删改、破坏监控机房原始数据记录。</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（4）监控机房运维人员需做好监控机房的卫生清洁工作，保持室内干燥通风，设备、布线排列整齐严禁携带易燃、易爆、有毒或易挥发物品进入监控机房，严禁烟火，严禁用湿手或潮湿物品接触机房设备。</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5）监控机房运维人员需严格按规定操作步骤进行操作，密切注意监控机房内设备运行状况，保证监控机房内设备安全有序，不允许带电进行硬件的热插拔操作（支持热插拔的硬件设施除外），不得无故中断监控；对出现故障的系统要求及时按照异常情况汇报流程执行，及时进行维修。</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（6）监控机房内所有信息系统、终端设备、服务器、均需要设置强密码，运维人员不得擅自将密码告知他人。</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（7）非工作人员未经许可，不得擅自进入监控机房操作主机设备，运维人员离开需要随手锁门，妥善保管监控机房钥匙。</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（8）监控机房运维人员在岗期间需随时关注监控画面，及时发现异常情况，画面内人员出现长时间不活动或其他状况，先通过对讲机沟通，若无回应或者出现异常状况，按照异常情况汇报流程执行。</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（9）监控机房运维人员在岗期间需定时查看各系统（包括视频监控、门禁、无人机等）的实时监控情况，发现异常情况，根据异常情况汇报流程处理。</w:t>
      </w:r>
    </w:p>
    <w:p>
      <w:pPr>
        <w:pStyle w:val="28"/>
        <w:numPr>
          <w:ilvl w:val="0"/>
          <w:numId w:val="0"/>
        </w:numPr>
        <w:rPr>
          <w:rFonts w:hint="eastAsia" w:cs="仿宋_GB2312"/>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kern w:val="2"/>
          <w:sz w:val="24"/>
          <w:szCs w:val="24"/>
          <w:highlight w:val="none"/>
          <w:lang w:val="en-US" w:eastAsia="zh-CN" w:bidi="ar-SA"/>
          <w14:textFill>
            <w14:solidFill>
              <w14:schemeClr w14:val="tx1"/>
            </w14:solidFill>
          </w14:textFill>
        </w:rPr>
        <w:t>（10）应及时对施工过程中的设备拆卸及改线需求，做出响应。</w:t>
      </w:r>
    </w:p>
    <w:p>
      <w:pPr>
        <w:pStyle w:val="2"/>
        <w:numPr>
          <w:ilvl w:val="1"/>
          <w:numId w:val="0"/>
        </w:numPr>
        <w:bidi w:val="0"/>
        <w:ind w:leftChars="0"/>
        <w:rPr>
          <w:highlight w:val="none"/>
        </w:rPr>
      </w:pPr>
      <w:bookmarkStart w:id="253" w:name="_Toc24416"/>
      <w:bookmarkStart w:id="254" w:name="_Toc2734"/>
      <w:r>
        <w:rPr>
          <w:rFonts w:hint="eastAsia"/>
          <w:highlight w:val="none"/>
          <w:lang w:val="en-US" w:eastAsia="zh-CN"/>
        </w:rPr>
        <w:t>8.8</w:t>
      </w:r>
      <w:r>
        <w:rPr>
          <w:rFonts w:hint="eastAsia"/>
          <w:highlight w:val="none"/>
        </w:rPr>
        <w:t>其他要求</w:t>
      </w:r>
      <w:bookmarkEnd w:id="253"/>
    </w:p>
    <w:p>
      <w:pPr>
        <w:pStyle w:val="28"/>
        <w:rPr>
          <w:rFonts w:hint="eastAsia" w:ascii="Times New Roman" w:hAnsi="Times New Roman" w:eastAsia="宋体" w:cs="仿宋_GB2312"/>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仿宋_GB2312"/>
          <w:color w:val="000000" w:themeColor="text1"/>
          <w:kern w:val="2"/>
          <w:sz w:val="24"/>
          <w:szCs w:val="24"/>
          <w:highlight w:val="none"/>
          <w:lang w:val="en-US" w:eastAsia="zh-CN" w:bidi="ar-SA"/>
          <w14:textFill>
            <w14:solidFill>
              <w14:schemeClr w14:val="tx1"/>
            </w14:solidFill>
          </w14:textFill>
        </w:rPr>
        <w:t>为保证智慧工地项目顺利实施，投标方应协助招标方开展项目实施阶段的项目实施服务，包括但不限于</w:t>
      </w:r>
      <w:r>
        <w:rPr>
          <w:rFonts w:hint="eastAsia" w:ascii="Times New Roman" w:hAnsi="Times New Roman" w:eastAsia="宋体" w:cs="仿宋_GB2312"/>
          <w:color w:val="000000" w:themeColor="text1"/>
          <w:sz w:val="24"/>
          <w:szCs w:val="24"/>
          <w:highlight w:val="none"/>
          <w14:textFill>
            <w14:solidFill>
              <w14:schemeClr w14:val="tx1"/>
            </w14:solidFill>
          </w14:textFill>
        </w:rPr>
        <w:t>参加</w:t>
      </w:r>
      <w:r>
        <w:rPr>
          <w:rFonts w:hint="eastAsia" w:cs="仿宋_GB2312"/>
          <w:color w:val="000000" w:themeColor="text1"/>
          <w:sz w:val="24"/>
          <w:szCs w:val="24"/>
          <w:highlight w:val="none"/>
          <w:lang w:val="en-US" w:eastAsia="zh-CN"/>
          <w14:textFill>
            <w14:solidFill>
              <w14:schemeClr w14:val="tx1"/>
            </w14:solidFill>
          </w14:textFill>
        </w:rPr>
        <w:t>招标方</w:t>
      </w:r>
      <w:r>
        <w:rPr>
          <w:rFonts w:hint="eastAsia" w:ascii="Times New Roman" w:hAnsi="Times New Roman" w:eastAsia="宋体" w:cs="仿宋_GB2312"/>
          <w:color w:val="000000" w:themeColor="text1"/>
          <w:sz w:val="24"/>
          <w:szCs w:val="24"/>
          <w:highlight w:val="none"/>
          <w14:textFill>
            <w14:solidFill>
              <w14:schemeClr w14:val="tx1"/>
            </w14:solidFill>
          </w14:textFill>
        </w:rPr>
        <w:t>例会及专项会议</w:t>
      </w:r>
      <w:r>
        <w:rPr>
          <w:rFonts w:hint="eastAsia" w:cs="仿宋_GB2312"/>
          <w:color w:val="000000" w:themeColor="text1"/>
          <w:sz w:val="24"/>
          <w:szCs w:val="24"/>
          <w:highlight w:val="none"/>
          <w:lang w:eastAsia="zh-CN"/>
          <w14:textFill>
            <w14:solidFill>
              <w14:schemeClr w14:val="tx1"/>
            </w14:solidFill>
          </w14:textFill>
        </w:rPr>
        <w:t>、</w:t>
      </w:r>
      <w:r>
        <w:rPr>
          <w:rFonts w:hint="eastAsia" w:ascii="Times New Roman" w:hAnsi="Times New Roman" w:eastAsia="宋体" w:cs="仿宋_GB2312"/>
          <w:color w:val="000000" w:themeColor="text1"/>
          <w:kern w:val="2"/>
          <w:sz w:val="24"/>
          <w:szCs w:val="24"/>
          <w:highlight w:val="none"/>
          <w:lang w:val="en-US" w:eastAsia="zh-CN" w:bidi="ar-SA"/>
          <w14:textFill>
            <w14:solidFill>
              <w14:schemeClr w14:val="tx1"/>
            </w14:solidFill>
          </w14:textFill>
        </w:rPr>
        <w:t>周月报材料编制</w:t>
      </w:r>
      <w:r>
        <w:rPr>
          <w:rFonts w:hint="eastAsia" w:cs="仿宋_GB2312"/>
          <w:color w:val="000000" w:themeColor="text1"/>
          <w:kern w:val="2"/>
          <w:sz w:val="24"/>
          <w:szCs w:val="24"/>
          <w:highlight w:val="none"/>
          <w:lang w:val="en-US" w:eastAsia="zh-CN" w:bidi="ar-SA"/>
          <w14:textFill>
            <w14:solidFill>
              <w14:schemeClr w14:val="tx1"/>
            </w14:solidFill>
          </w14:textFill>
        </w:rPr>
        <w:t>及汇报</w:t>
      </w:r>
      <w:r>
        <w:rPr>
          <w:rFonts w:hint="eastAsia" w:ascii="Times New Roman" w:hAnsi="Times New Roman" w:eastAsia="宋体" w:cs="仿宋_GB2312"/>
          <w:color w:val="000000" w:themeColor="text1"/>
          <w:kern w:val="2"/>
          <w:sz w:val="24"/>
          <w:szCs w:val="24"/>
          <w:highlight w:val="none"/>
          <w:lang w:val="en-US" w:eastAsia="zh-CN" w:bidi="ar-SA"/>
          <w14:textFill>
            <w14:solidFill>
              <w14:schemeClr w14:val="tx1"/>
            </w14:solidFill>
          </w14:textFill>
        </w:rPr>
        <w:t>、项目汇报材料编制</w:t>
      </w:r>
      <w:r>
        <w:rPr>
          <w:rFonts w:hint="eastAsia" w:cs="仿宋_GB2312"/>
          <w:color w:val="000000" w:themeColor="text1"/>
          <w:kern w:val="2"/>
          <w:sz w:val="24"/>
          <w:szCs w:val="24"/>
          <w:highlight w:val="none"/>
          <w:lang w:val="en-US" w:eastAsia="zh-CN" w:bidi="ar-SA"/>
          <w14:textFill>
            <w14:solidFill>
              <w14:schemeClr w14:val="tx1"/>
            </w14:solidFill>
          </w14:textFill>
        </w:rPr>
        <w:t>及汇报</w:t>
      </w:r>
      <w:r>
        <w:rPr>
          <w:rFonts w:hint="eastAsia" w:ascii="Times New Roman" w:hAnsi="Times New Roman" w:eastAsia="宋体" w:cs="仿宋_GB2312"/>
          <w:color w:val="000000" w:themeColor="text1"/>
          <w:kern w:val="2"/>
          <w:sz w:val="24"/>
          <w:szCs w:val="24"/>
          <w:highlight w:val="none"/>
          <w:lang w:val="en-US" w:eastAsia="zh-CN" w:bidi="ar-SA"/>
          <w14:textFill>
            <w14:solidFill>
              <w14:schemeClr w14:val="tx1"/>
            </w14:solidFill>
          </w14:textFill>
        </w:rPr>
        <w:t>、发明专利或实用新型专利的申请、配合发表期刊文章、报奖创优材料编制等工作。</w:t>
      </w:r>
    </w:p>
    <w:p>
      <w:pPr>
        <w:ind w:left="0" w:leftChars="0" w:firstLine="480" w:firstLineChars="200"/>
        <w:rPr>
          <w:rFonts w:hint="eastAsia" w:ascii="Times New Roman" w:hAnsi="Times New Roman" w:eastAsia="宋体" w:cs="仿宋_GB2312"/>
          <w:color w:val="000000" w:themeColor="text1"/>
          <w:sz w:val="24"/>
          <w:szCs w:val="24"/>
          <w:highlight w:val="none"/>
          <w14:textFill>
            <w14:solidFill>
              <w14:schemeClr w14:val="tx1"/>
            </w14:solidFill>
          </w14:textFill>
        </w:rPr>
      </w:pPr>
      <w:r>
        <w:rPr>
          <w:rFonts w:hint="eastAsia" w:ascii="Times New Roman" w:hAnsi="Times New Roman" w:eastAsia="宋体" w:cs="仿宋_GB2312"/>
          <w:color w:val="000000" w:themeColor="text1"/>
          <w:sz w:val="24"/>
          <w:szCs w:val="24"/>
          <w:highlight w:val="none"/>
          <w14:textFill>
            <w14:solidFill>
              <w14:schemeClr w14:val="tx1"/>
            </w14:solidFill>
          </w14:textFill>
        </w:rPr>
        <w:t>投标方应按照招标方要求，配合完成招标方认为与本项目相关的其他工作。</w:t>
      </w:r>
      <w:bookmarkEnd w:id="254"/>
    </w:p>
    <w:p>
      <w:pPr>
        <w:pStyle w:val="3"/>
        <w:numPr>
          <w:ilvl w:val="0"/>
          <w:numId w:val="0"/>
        </w:numPr>
        <w:bidi w:val="0"/>
        <w:ind w:leftChars="0"/>
        <w:rPr>
          <w:highlight w:val="none"/>
          <w:lang w:val="en-US"/>
        </w:rPr>
      </w:pPr>
      <w:bookmarkStart w:id="255" w:name="_Toc1785"/>
      <w:bookmarkStart w:id="256" w:name="_Toc13830"/>
      <w:bookmarkStart w:id="257" w:name="_Toc23965"/>
      <w:bookmarkStart w:id="258" w:name="_Toc9915"/>
      <w:r>
        <w:rPr>
          <w:rFonts w:hint="eastAsia"/>
          <w:highlight w:val="none"/>
          <w:lang w:val="en-US" w:eastAsia="zh-CN"/>
        </w:rPr>
        <w:t>9</w:t>
      </w:r>
      <w:r>
        <w:rPr>
          <w:rFonts w:hint="eastAsia"/>
          <w:highlight w:val="none"/>
          <w:lang w:val="en-US"/>
        </w:rPr>
        <w:t>惩罚措施</w:t>
      </w:r>
      <w:bookmarkEnd w:id="255"/>
      <w:bookmarkEnd w:id="256"/>
      <w:bookmarkEnd w:id="257"/>
      <w:bookmarkEnd w:id="258"/>
    </w:p>
    <w:p>
      <w:pPr>
        <w:bidi w:val="0"/>
        <w:rPr>
          <w:rFonts w:hint="default" w:eastAsia="宋体"/>
          <w:highlight w:val="none"/>
          <w:lang w:val="en-US" w:eastAsia="zh-CN"/>
        </w:rPr>
      </w:pPr>
      <w:r>
        <w:rPr>
          <w:rFonts w:hint="eastAsia"/>
          <w:highlight w:val="none"/>
          <w:lang w:val="en-US" w:eastAsia="zh-CN"/>
        </w:rPr>
        <w:t>投标方应确保在5</w:t>
      </w:r>
      <w:r>
        <w:rPr>
          <w:rFonts w:hint="eastAsia"/>
          <w:highlight w:val="yellow"/>
          <w:lang w:val="en-US" w:eastAsia="zh-CN"/>
        </w:rPr>
        <w:t>月10日</w:t>
      </w:r>
      <w:r>
        <w:rPr>
          <w:rFonts w:hint="eastAsia"/>
          <w:highlight w:val="none"/>
          <w:lang w:val="en-US" w:eastAsia="zh-CN"/>
        </w:rPr>
        <w:t>前完成全部智慧工地建设所需设备到货现场并完成开箱验收，延期一天扣除合同额2</w:t>
      </w:r>
      <w:r>
        <w:rPr>
          <w:rFonts w:hint="eastAsia" w:ascii="宋体" w:hAnsi="宋体" w:eastAsia="宋体" w:cs="Times New Roman"/>
          <w:color w:val="auto"/>
          <w:highlight w:val="none"/>
          <w:lang w:val="en-US" w:eastAsia="zh-CN"/>
        </w:rPr>
        <w:t>‰</w:t>
      </w:r>
      <w:r>
        <w:rPr>
          <w:rFonts w:hint="eastAsia"/>
          <w:highlight w:val="none"/>
          <w:lang w:val="en-US" w:eastAsia="zh-CN"/>
        </w:rPr>
        <w:t>的费用。</w:t>
      </w:r>
    </w:p>
    <w:p>
      <w:pPr>
        <w:bidi w:val="0"/>
        <w:rPr>
          <w:highlight w:val="none"/>
        </w:rPr>
      </w:pPr>
      <w:r>
        <w:rPr>
          <w:rFonts w:hint="eastAsia"/>
          <w:highlight w:val="none"/>
        </w:rPr>
        <w:t>投标方所如</w:t>
      </w:r>
      <w:r>
        <w:rPr>
          <w:highlight w:val="none"/>
        </w:rPr>
        <w:t>出现质量、安全、进度问题，根据问题严重程度，每次扣除合同额</w:t>
      </w:r>
      <w:r>
        <w:rPr>
          <w:rFonts w:hint="eastAsia"/>
          <w:highlight w:val="none"/>
        </w:rPr>
        <w:t>1</w:t>
      </w:r>
      <w:r>
        <w:rPr>
          <w:highlight w:val="none"/>
        </w:rPr>
        <w:t>%到5%</w:t>
      </w:r>
      <w:r>
        <w:rPr>
          <w:rFonts w:hint="eastAsia"/>
          <w:highlight w:val="none"/>
        </w:rPr>
        <w:t>的</w:t>
      </w:r>
      <w:r>
        <w:rPr>
          <w:highlight w:val="none"/>
        </w:rPr>
        <w:t>费用。</w:t>
      </w:r>
    </w:p>
    <w:p>
      <w:pPr>
        <w:bidi w:val="0"/>
        <w:rPr>
          <w:rFonts w:hint="eastAsia"/>
          <w:highlight w:val="none"/>
          <w:lang w:val="en-US" w:eastAsia="zh-CN"/>
        </w:rPr>
      </w:pPr>
      <w:r>
        <w:rPr>
          <w:rFonts w:hint="eastAsia"/>
          <w:highlight w:val="none"/>
          <w:lang w:val="en-US" w:eastAsia="zh-CN"/>
        </w:rPr>
        <w:t>未经招标方同意，投标方擅自进行系统更新或设备调试行为，引起系统崩溃、中毒及其他间接损失的，由投标方进行全部赔偿，并</w:t>
      </w:r>
      <w:r>
        <w:rPr>
          <w:rFonts w:hint="eastAsia"/>
          <w:highlight w:val="none"/>
        </w:rPr>
        <w:t>按照人民币3000元/</w:t>
      </w:r>
      <w:r>
        <w:rPr>
          <w:rFonts w:hint="eastAsia"/>
          <w:highlight w:val="none"/>
          <w:lang w:val="en-US" w:eastAsia="zh-CN"/>
        </w:rPr>
        <w:t>次</w:t>
      </w:r>
      <w:r>
        <w:rPr>
          <w:rFonts w:hint="eastAsia"/>
          <w:highlight w:val="none"/>
        </w:rPr>
        <w:t>的标准对投标方处以扣款，款额从合同款中扣除</w:t>
      </w:r>
      <w:r>
        <w:rPr>
          <w:rFonts w:hint="eastAsia"/>
          <w:highlight w:val="none"/>
          <w:lang w:eastAsia="zh-CN"/>
        </w:rPr>
        <w:t>。</w:t>
      </w:r>
    </w:p>
    <w:p>
      <w:pPr>
        <w:bidi w:val="0"/>
        <w:rPr>
          <w:highlight w:val="none"/>
        </w:rPr>
      </w:pPr>
      <w:r>
        <w:rPr>
          <w:highlight w:val="none"/>
        </w:rPr>
        <w:t>未经招标方同意，投标方不得更换招标方已批准的专职管理人员；对于招标方认为不称职的管理人员，投标方必须无条件更换，新更换的管理人员须在10个工作日内经招标方面试合格后到岗；面试不合格的，投标方须重新更换，并在7个工作日内经招标方确认合格后到岗。对投标方不按规定时间组织更换合格人员到岗履行合同的，招标方</w:t>
      </w:r>
      <w:r>
        <w:rPr>
          <w:rFonts w:hint="eastAsia"/>
          <w:highlight w:val="none"/>
        </w:rPr>
        <w:t>根据</w:t>
      </w:r>
      <w:r>
        <w:rPr>
          <w:highlight w:val="none"/>
        </w:rPr>
        <w:t>上述人员的数量和空岗时间，按照人民币3000元/人•日的标准对投标方处以扣款，款额从合同款中扣除。</w:t>
      </w:r>
    </w:p>
    <w:p>
      <w:pPr>
        <w:bidi w:val="0"/>
        <w:rPr>
          <w:rFonts w:hint="eastAsia"/>
          <w:highlight w:val="none"/>
        </w:rPr>
      </w:pPr>
      <w:r>
        <w:rPr>
          <w:rFonts w:hint="eastAsia"/>
          <w:highlight w:val="none"/>
          <w:lang w:val="en-US" w:eastAsia="zh-CN"/>
        </w:rPr>
        <w:t>建设期及运维期间投标方关键管理人员及运维人员需在招标方要求的地点开展驻场服务，</w:t>
      </w:r>
      <w:r>
        <w:rPr>
          <w:rFonts w:hint="eastAsia"/>
          <w:highlight w:val="none"/>
        </w:rPr>
        <w:t>并由招标方进行考勤。无故缺勤或未经招标方同意离岗者，根据</w:t>
      </w:r>
      <w:r>
        <w:rPr>
          <w:highlight w:val="none"/>
        </w:rPr>
        <w:t>上述人员的数量和空岗时间</w:t>
      </w:r>
      <w:r>
        <w:rPr>
          <w:rFonts w:hint="eastAsia"/>
          <w:highlight w:val="none"/>
        </w:rPr>
        <w:t>，按照人民币3000元/人</w:t>
      </w:r>
      <w:r>
        <w:rPr>
          <w:highlight w:val="none"/>
        </w:rPr>
        <w:t>•日</w:t>
      </w:r>
      <w:r>
        <w:rPr>
          <w:rFonts w:hint="eastAsia"/>
          <w:highlight w:val="none"/>
        </w:rPr>
        <w:t>的标准对投标方处以扣款，</w:t>
      </w:r>
      <w:r>
        <w:rPr>
          <w:highlight w:val="none"/>
        </w:rPr>
        <w:t>款额从合同款中扣除</w:t>
      </w:r>
      <w:r>
        <w:rPr>
          <w:rFonts w:hint="eastAsia"/>
          <w:highlight w:val="none"/>
        </w:rPr>
        <w:t>。</w:t>
      </w:r>
    </w:p>
    <w:p>
      <w:pPr>
        <w:bidi w:val="0"/>
        <w:rPr>
          <w:rFonts w:hint="eastAsia"/>
          <w:highlight w:val="none"/>
        </w:rPr>
      </w:pPr>
      <w:r>
        <w:rPr>
          <w:rFonts w:hint="eastAsia"/>
          <w:highlight w:val="none"/>
          <w:lang w:val="en-US" w:eastAsia="zh-CN"/>
        </w:rPr>
        <w:t>运维期间，如运维人员因未及时发现或漏报导致智慧工地平台不能正常运行，或是建设单位门禁、视频不能正常查看，或因未及时通知建设单位与招标方，而引发的建设单位罚款由投标方完全承担。</w:t>
      </w:r>
    </w:p>
    <w:p>
      <w:pPr>
        <w:pStyle w:val="5"/>
      </w:pPr>
    </w:p>
    <w:sectPr>
      <w:pgSz w:w="11906" w:h="16838"/>
      <w:pgMar w:top="1587" w:right="1417" w:bottom="1020"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Arial Unicode MS"/>
    <w:panose1 w:val="02000000000000000000"/>
    <w:charset w:val="86"/>
    <w:family w:val="auto"/>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1"/>
      </w:pBdr>
      <w:ind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1"/>
      </w:pBdr>
      <w:ind w:firstLine="360"/>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1"/>
      </w:pBdr>
      <w:ind w:firstLine="360"/>
      <w:jc w:val="both"/>
    </w:pPr>
    <w:r>
      <w:rPr>
        <w:rStyle w:val="18"/>
        <w:rFonts w:hint="eastAsia"/>
      </w:rPr>
      <w:t xml:space="preserve">中海油石化工程有限公司                                               </w:t>
    </w:r>
    <w:r>
      <w:rPr>
        <w:rStyle w:val="18"/>
        <w:rFonts w:hint="eastAsia"/>
        <w:lang w:val="en-US" w:eastAsia="zh-CN"/>
      </w:rPr>
      <w:t xml:space="preserve">             </w:t>
    </w:r>
    <w:r>
      <w:rPr>
        <w:rStyle w:val="18"/>
        <w:rFonts w:hint="eastAsia"/>
      </w:rPr>
      <w:t>第</w:t>
    </w:r>
    <w:r>
      <w:rPr>
        <w:rStyle w:val="18"/>
      </w:rPr>
      <w:fldChar w:fldCharType="begin"/>
    </w:r>
    <w:r>
      <w:rPr>
        <w:rStyle w:val="18"/>
      </w:rPr>
      <w:instrText xml:space="preserve"> PAGE </w:instrText>
    </w:r>
    <w:r>
      <w:rPr>
        <w:rStyle w:val="18"/>
      </w:rPr>
      <w:fldChar w:fldCharType="separate"/>
    </w:r>
    <w:r>
      <w:rPr>
        <w:rStyle w:val="18"/>
      </w:rPr>
      <w:t>17</w:t>
    </w:r>
    <w:r>
      <w:rPr>
        <w:rStyle w:val="18"/>
      </w:rPr>
      <w:fldChar w:fldCharType="end"/>
    </w:r>
    <w:r>
      <w:rPr>
        <w:rStyle w:val="18"/>
        <w:rFonts w:hint="eastAsia"/>
      </w:rPr>
      <w:t>页 共</w:t>
    </w:r>
    <w:r>
      <w:rPr>
        <w:rStyle w:val="18"/>
        <w:rFonts w:hint="eastAsia"/>
        <w:lang w:val="en-US" w:eastAsia="zh-CN"/>
      </w:rPr>
      <w:t>62</w:t>
    </w:r>
    <w:r>
      <w:rPr>
        <w:rStyle w:val="18"/>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ind w:firstLine="360"/>
      <w:jc w:val="left"/>
      <w:rPr>
        <w:rFonts w:ascii="宋体" w:eastAsia="宋体"/>
        <w:spacing w:val="-20"/>
        <w:szCs w:val="21"/>
      </w:rPr>
    </w:pPr>
    <w:r>
      <w:rPr>
        <w:rFonts w:hint="eastAsia" w:ascii="宋体" w:hAnsi="宋体"/>
      </w:rPr>
      <w:t>智慧工地</w:t>
    </w:r>
    <w:r>
      <w:rPr>
        <w:rFonts w:hint="eastAsia" w:ascii="宋体" w:hAnsi="宋体"/>
        <w:lang w:val="en-US" w:eastAsia="zh-CN"/>
      </w:rPr>
      <w:t>建设项目</w:t>
    </w:r>
    <w:r>
      <w:rPr>
        <w:rFonts w:hint="eastAsia" w:ascii="宋体" w:hAnsi="宋体"/>
      </w:rPr>
      <w:t>工作范围与技术要求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AB02B"/>
    <w:multiLevelType w:val="singleLevel"/>
    <w:tmpl w:val="8BFAB02B"/>
    <w:lvl w:ilvl="0" w:tentative="0">
      <w:start w:val="1"/>
      <w:numFmt w:val="decimal"/>
      <w:lvlText w:val="%1."/>
      <w:lvlJc w:val="left"/>
      <w:pPr>
        <w:tabs>
          <w:tab w:val="left" w:pos="312"/>
        </w:tabs>
      </w:pPr>
    </w:lvl>
  </w:abstractNum>
  <w:abstractNum w:abstractNumId="1">
    <w:nsid w:val="90EDC49D"/>
    <w:multiLevelType w:val="multilevel"/>
    <w:tmpl w:val="90EDC49D"/>
    <w:lvl w:ilvl="0" w:tentative="0">
      <w:start w:val="5"/>
      <w:numFmt w:val="decimal"/>
      <w:lvlText w:val="%1."/>
      <w:lvlJc w:val="left"/>
      <w:pPr>
        <w:ind w:left="425" w:hanging="425"/>
      </w:pPr>
      <w:rPr>
        <w:rFonts w:hint="default" w:ascii="宋体" w:hAnsi="宋体" w:eastAsia="宋体" w:cs="宋体"/>
      </w:rPr>
    </w:lvl>
    <w:lvl w:ilvl="1" w:tentative="0">
      <w:start w:val="4"/>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ascii="宋体" w:hAnsi="宋体" w:eastAsia="宋体" w:cs="宋体"/>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A7FD9E2E"/>
    <w:multiLevelType w:val="singleLevel"/>
    <w:tmpl w:val="A7FD9E2E"/>
    <w:lvl w:ilvl="0" w:tentative="0">
      <w:start w:val="3"/>
      <w:numFmt w:val="decimal"/>
      <w:suff w:val="nothing"/>
      <w:lvlText w:val="%1、"/>
      <w:lvlJc w:val="left"/>
    </w:lvl>
  </w:abstractNum>
  <w:abstractNum w:abstractNumId="3">
    <w:nsid w:val="B92B5B26"/>
    <w:multiLevelType w:val="multilevel"/>
    <w:tmpl w:val="B92B5B2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D7811A74"/>
    <w:multiLevelType w:val="singleLevel"/>
    <w:tmpl w:val="D7811A74"/>
    <w:lvl w:ilvl="0" w:tentative="0">
      <w:start w:val="1"/>
      <w:numFmt w:val="decimal"/>
      <w:lvlText w:val="%1)"/>
      <w:lvlJc w:val="left"/>
      <w:pPr>
        <w:ind w:left="425" w:hanging="425"/>
      </w:pPr>
      <w:rPr>
        <w:rFonts w:hint="default"/>
      </w:rPr>
    </w:lvl>
  </w:abstractNum>
  <w:abstractNum w:abstractNumId="5">
    <w:nsid w:val="DAD17E71"/>
    <w:multiLevelType w:val="singleLevel"/>
    <w:tmpl w:val="DAD17E71"/>
    <w:lvl w:ilvl="0" w:tentative="0">
      <w:start w:val="1"/>
      <w:numFmt w:val="decimal"/>
      <w:lvlText w:val="(%1)"/>
      <w:lvlJc w:val="left"/>
      <w:pPr>
        <w:ind w:left="425" w:hanging="425"/>
      </w:pPr>
      <w:rPr>
        <w:rFonts w:hint="default"/>
      </w:rPr>
    </w:lvl>
  </w:abstractNum>
  <w:abstractNum w:abstractNumId="6">
    <w:nsid w:val="DC0DA940"/>
    <w:multiLevelType w:val="singleLevel"/>
    <w:tmpl w:val="DC0DA940"/>
    <w:lvl w:ilvl="0" w:tentative="0">
      <w:start w:val="1"/>
      <w:numFmt w:val="decimal"/>
      <w:lvlText w:val="%1)"/>
      <w:lvlJc w:val="left"/>
      <w:pPr>
        <w:ind w:left="425" w:hanging="425"/>
      </w:pPr>
      <w:rPr>
        <w:rFonts w:hint="default"/>
      </w:rPr>
    </w:lvl>
  </w:abstractNum>
  <w:abstractNum w:abstractNumId="7">
    <w:nsid w:val="E6853530"/>
    <w:multiLevelType w:val="multilevel"/>
    <w:tmpl w:val="E6853530"/>
    <w:lvl w:ilvl="0" w:tentative="0">
      <w:start w:val="1"/>
      <w:numFmt w:val="decimal"/>
      <w:pStyle w:val="3"/>
      <w:suff w:val="nothing"/>
      <w:lvlText w:val="%1."/>
      <w:lvlJc w:val="left"/>
      <w:pPr>
        <w:ind w:left="0" w:leftChars="0" w:firstLine="0" w:firstLineChars="0"/>
      </w:pPr>
      <w:rPr>
        <w:rFonts w:hint="eastAsia"/>
      </w:rPr>
    </w:lvl>
    <w:lvl w:ilvl="1" w:tentative="0">
      <w:start w:val="2"/>
      <w:numFmt w:val="decimal"/>
      <w:pStyle w:val="2"/>
      <w:suff w:val="nothing"/>
      <w:lvlText w:val="%1.%2"/>
      <w:lvlJc w:val="left"/>
      <w:pPr>
        <w:ind w:left="0" w:leftChars="0" w:firstLine="0" w:firstLineChars="0"/>
      </w:pPr>
      <w:rPr>
        <w:rFonts w:hint="default" w:ascii="Times New Roman" w:hAnsi="Times New Roman" w:eastAsia="宋体" w:cs="宋体"/>
      </w:rPr>
    </w:lvl>
    <w:lvl w:ilvl="2" w:tentative="0">
      <w:start w:val="1"/>
      <w:numFmt w:val="decimal"/>
      <w:pStyle w:val="4"/>
      <w:suff w:val="nothing"/>
      <w:lvlText w:val="%1.%2.%3"/>
      <w:lvlJc w:val="left"/>
      <w:pPr>
        <w:tabs>
          <w:tab w:val="left" w:pos="0"/>
        </w:tabs>
        <w:ind w:left="0" w:leftChars="0" w:firstLine="0" w:firstLineChars="0"/>
      </w:pPr>
      <w:rPr>
        <w:rFonts w:hint="default"/>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tentative="0">
      <w:start w:val="1"/>
      <w:numFmt w:val="decimal"/>
      <w:lvlText w:val="%1.%2.%3.%4.%5.%6"/>
      <w:lvlJc w:val="left"/>
      <w:pPr>
        <w:tabs>
          <w:tab w:val="left" w:pos="4129"/>
        </w:tabs>
        <w:ind w:left="4129"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
    <w:nsid w:val="E6AECCC0"/>
    <w:multiLevelType w:val="singleLevel"/>
    <w:tmpl w:val="E6AECCC0"/>
    <w:lvl w:ilvl="0" w:tentative="0">
      <w:start w:val="1"/>
      <w:numFmt w:val="decimalEnclosedCircleChinese"/>
      <w:suff w:val="nothing"/>
      <w:lvlText w:val="%1　"/>
      <w:lvlJc w:val="left"/>
      <w:pPr>
        <w:ind w:left="0" w:firstLine="40"/>
      </w:pPr>
      <w:rPr>
        <w:rFonts w:hint="eastAsia"/>
      </w:rPr>
    </w:lvl>
  </w:abstractNum>
  <w:abstractNum w:abstractNumId="9">
    <w:nsid w:val="EBA1CCEC"/>
    <w:multiLevelType w:val="singleLevel"/>
    <w:tmpl w:val="EBA1CCEC"/>
    <w:lvl w:ilvl="0" w:tentative="0">
      <w:start w:val="1"/>
      <w:numFmt w:val="decimal"/>
      <w:lvlText w:val="%1)"/>
      <w:lvlJc w:val="left"/>
      <w:pPr>
        <w:tabs>
          <w:tab w:val="left" w:pos="420"/>
        </w:tabs>
        <w:ind w:left="845" w:hanging="425"/>
      </w:pPr>
      <w:rPr>
        <w:rFonts w:hint="default"/>
      </w:rPr>
    </w:lvl>
  </w:abstractNum>
  <w:abstractNum w:abstractNumId="10">
    <w:nsid w:val="ED7FC69E"/>
    <w:multiLevelType w:val="singleLevel"/>
    <w:tmpl w:val="ED7FC69E"/>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EF675EB0"/>
    <w:multiLevelType w:val="multilevel"/>
    <w:tmpl w:val="EF675EB0"/>
    <w:lvl w:ilvl="0" w:tentative="0">
      <w:start w:val="5"/>
      <w:numFmt w:val="decimal"/>
      <w:lvlText w:val="%1."/>
      <w:lvlJc w:val="left"/>
      <w:pPr>
        <w:ind w:left="425" w:hanging="425"/>
      </w:pPr>
      <w:rPr>
        <w:rFonts w:hint="default" w:ascii="宋体" w:hAnsi="宋体" w:eastAsia="宋体" w:cs="宋体"/>
      </w:rPr>
    </w:lvl>
    <w:lvl w:ilvl="1" w:tentative="0">
      <w:start w:val="5"/>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ascii="宋体" w:hAnsi="宋体" w:eastAsia="宋体" w:cs="宋体"/>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F654A15A"/>
    <w:multiLevelType w:val="singleLevel"/>
    <w:tmpl w:val="F654A15A"/>
    <w:lvl w:ilvl="0" w:tentative="0">
      <w:start w:val="1"/>
      <w:numFmt w:val="decimal"/>
      <w:lvlText w:val="%1)"/>
      <w:lvlJc w:val="left"/>
      <w:pPr>
        <w:ind w:left="425" w:hanging="425"/>
      </w:pPr>
      <w:rPr>
        <w:rFonts w:hint="default"/>
      </w:rPr>
    </w:lvl>
  </w:abstractNum>
  <w:abstractNum w:abstractNumId="13">
    <w:nsid w:val="05E02056"/>
    <w:multiLevelType w:val="multilevel"/>
    <w:tmpl w:val="05E0205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11D430A9"/>
    <w:multiLevelType w:val="multilevel"/>
    <w:tmpl w:val="11D430A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1F068845"/>
    <w:multiLevelType w:val="singleLevel"/>
    <w:tmpl w:val="1F068845"/>
    <w:lvl w:ilvl="0" w:tentative="0">
      <w:start w:val="1"/>
      <w:numFmt w:val="decimal"/>
      <w:lvlText w:val="%1)"/>
      <w:lvlJc w:val="left"/>
      <w:pPr>
        <w:ind w:left="425" w:hanging="425"/>
      </w:pPr>
      <w:rPr>
        <w:rFonts w:hint="default"/>
      </w:rPr>
    </w:lvl>
  </w:abstractNum>
  <w:abstractNum w:abstractNumId="16">
    <w:nsid w:val="32694987"/>
    <w:multiLevelType w:val="singleLevel"/>
    <w:tmpl w:val="32694987"/>
    <w:lvl w:ilvl="0" w:tentative="0">
      <w:start w:val="1"/>
      <w:numFmt w:val="decimal"/>
      <w:lvlText w:val="(%1)"/>
      <w:lvlJc w:val="left"/>
      <w:pPr>
        <w:ind w:left="425" w:hanging="425"/>
      </w:pPr>
      <w:rPr>
        <w:rFonts w:hint="default"/>
      </w:rPr>
    </w:lvl>
  </w:abstractNum>
  <w:abstractNum w:abstractNumId="17">
    <w:nsid w:val="374F6DEC"/>
    <w:multiLevelType w:val="singleLevel"/>
    <w:tmpl w:val="374F6DEC"/>
    <w:lvl w:ilvl="0" w:tentative="0">
      <w:start w:val="1"/>
      <w:numFmt w:val="decimal"/>
      <w:lvlText w:val="%1)"/>
      <w:lvlJc w:val="left"/>
      <w:pPr>
        <w:ind w:left="425" w:hanging="425"/>
      </w:pPr>
      <w:rPr>
        <w:rFonts w:hint="default"/>
      </w:rPr>
    </w:lvl>
  </w:abstractNum>
  <w:abstractNum w:abstractNumId="18">
    <w:nsid w:val="41B276EA"/>
    <w:multiLevelType w:val="singleLevel"/>
    <w:tmpl w:val="41B276EA"/>
    <w:lvl w:ilvl="0" w:tentative="0">
      <w:start w:val="1"/>
      <w:numFmt w:val="bullet"/>
      <w:lvlText w:val=""/>
      <w:lvlJc w:val="left"/>
      <w:pPr>
        <w:ind w:left="420" w:hanging="420"/>
      </w:pPr>
      <w:rPr>
        <w:rFonts w:hint="default" w:ascii="Wingdings" w:hAnsi="Wingdings"/>
      </w:rPr>
    </w:lvl>
  </w:abstractNum>
  <w:abstractNum w:abstractNumId="19">
    <w:nsid w:val="45A4958F"/>
    <w:multiLevelType w:val="singleLevel"/>
    <w:tmpl w:val="45A4958F"/>
    <w:lvl w:ilvl="0" w:tentative="0">
      <w:start w:val="1"/>
      <w:numFmt w:val="decimalEnclosedCircleChinese"/>
      <w:suff w:val="nothing"/>
      <w:lvlText w:val="%1　"/>
      <w:lvlJc w:val="left"/>
      <w:pPr>
        <w:ind w:left="0" w:firstLine="40"/>
      </w:pPr>
      <w:rPr>
        <w:rFonts w:hint="eastAsia"/>
      </w:rPr>
    </w:lvl>
  </w:abstractNum>
  <w:abstractNum w:abstractNumId="20">
    <w:nsid w:val="49DA8263"/>
    <w:multiLevelType w:val="multilevel"/>
    <w:tmpl w:val="49DA826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B93665E"/>
    <w:multiLevelType w:val="multilevel"/>
    <w:tmpl w:val="5B93665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61496C36"/>
    <w:multiLevelType w:val="singleLevel"/>
    <w:tmpl w:val="61496C36"/>
    <w:lvl w:ilvl="0" w:tentative="0">
      <w:start w:val="1"/>
      <w:numFmt w:val="decimal"/>
      <w:lvlText w:val="(%1)"/>
      <w:lvlJc w:val="left"/>
      <w:pPr>
        <w:tabs>
          <w:tab w:val="left" w:pos="397"/>
        </w:tabs>
        <w:ind w:left="0" w:leftChars="0" w:firstLine="0" w:firstLineChars="0"/>
      </w:pPr>
      <w:rPr>
        <w:rFonts w:hint="default"/>
      </w:rPr>
    </w:lvl>
  </w:abstractNum>
  <w:abstractNum w:abstractNumId="23">
    <w:nsid w:val="626BB7EB"/>
    <w:multiLevelType w:val="singleLevel"/>
    <w:tmpl w:val="626BB7EB"/>
    <w:lvl w:ilvl="0" w:tentative="0">
      <w:start w:val="1"/>
      <w:numFmt w:val="decimalEnclosedCircleChinese"/>
      <w:suff w:val="nothing"/>
      <w:lvlText w:val="%1　"/>
      <w:lvlJc w:val="left"/>
      <w:pPr>
        <w:ind w:left="0" w:firstLine="40"/>
      </w:pPr>
      <w:rPr>
        <w:rFonts w:hint="eastAsia"/>
      </w:rPr>
    </w:lvl>
  </w:abstractNum>
  <w:abstractNum w:abstractNumId="24">
    <w:nsid w:val="63714DF6"/>
    <w:multiLevelType w:val="singleLevel"/>
    <w:tmpl w:val="63714DF6"/>
    <w:lvl w:ilvl="0" w:tentative="0">
      <w:start w:val="1"/>
      <w:numFmt w:val="decimalEnclosedCircleChinese"/>
      <w:suff w:val="nothing"/>
      <w:lvlText w:val="%1　"/>
      <w:lvlJc w:val="left"/>
      <w:pPr>
        <w:ind w:left="0" w:firstLine="40"/>
      </w:pPr>
      <w:rPr>
        <w:rFonts w:hint="eastAsia"/>
      </w:rPr>
    </w:lvl>
  </w:abstractNum>
  <w:abstractNum w:abstractNumId="25">
    <w:nsid w:val="670B5468"/>
    <w:multiLevelType w:val="multilevel"/>
    <w:tmpl w:val="670B5468"/>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6">
    <w:nsid w:val="722EE0D2"/>
    <w:multiLevelType w:val="singleLevel"/>
    <w:tmpl w:val="722EE0D2"/>
    <w:lvl w:ilvl="0" w:tentative="0">
      <w:start w:val="1"/>
      <w:numFmt w:val="decimal"/>
      <w:lvlText w:val="(%1)"/>
      <w:lvlJc w:val="left"/>
      <w:pPr>
        <w:ind w:left="425" w:hanging="425"/>
      </w:pPr>
      <w:rPr>
        <w:rFonts w:hint="default"/>
      </w:rPr>
    </w:lvl>
  </w:abstractNum>
  <w:num w:numId="1">
    <w:abstractNumId w:val="7"/>
  </w:num>
  <w:num w:numId="2">
    <w:abstractNumId w:val="0"/>
  </w:num>
  <w:num w:numId="3">
    <w:abstractNumId w:val="1"/>
  </w:num>
  <w:num w:numId="4">
    <w:abstractNumId w:val="11"/>
  </w:num>
  <w:num w:numId="5">
    <w:abstractNumId w:val="18"/>
  </w:num>
  <w:num w:numId="6">
    <w:abstractNumId w:val="22"/>
  </w:num>
  <w:num w:numId="7">
    <w:abstractNumId w:val="17"/>
  </w:num>
  <w:num w:numId="8">
    <w:abstractNumId w:val="15"/>
  </w:num>
  <w:num w:numId="9">
    <w:abstractNumId w:val="2"/>
  </w:num>
  <w:num w:numId="10">
    <w:abstractNumId w:val="12"/>
  </w:num>
  <w:num w:numId="11">
    <w:abstractNumId w:val="5"/>
  </w:num>
  <w:num w:numId="12">
    <w:abstractNumId w:val="3"/>
  </w:num>
  <w:num w:numId="13">
    <w:abstractNumId w:val="20"/>
  </w:num>
  <w:num w:numId="14">
    <w:abstractNumId w:val="13"/>
  </w:num>
  <w:num w:numId="15">
    <w:abstractNumId w:val="25"/>
  </w:num>
  <w:num w:numId="16">
    <w:abstractNumId w:val="26"/>
  </w:num>
  <w:num w:numId="17">
    <w:abstractNumId w:val="9"/>
  </w:num>
  <w:num w:numId="18">
    <w:abstractNumId w:val="14"/>
  </w:num>
  <w:num w:numId="19">
    <w:abstractNumId w:val="21"/>
  </w:num>
  <w:num w:numId="20">
    <w:abstractNumId w:val="16"/>
  </w:num>
  <w:num w:numId="21">
    <w:abstractNumId w:val="6"/>
  </w:num>
  <w:num w:numId="22">
    <w:abstractNumId w:val="4"/>
  </w:num>
  <w:num w:numId="23">
    <w:abstractNumId w:val="8"/>
  </w:num>
  <w:num w:numId="24">
    <w:abstractNumId w:val="19"/>
  </w:num>
  <w:num w:numId="25">
    <w:abstractNumId w:val="23"/>
  </w:num>
  <w:num w:numId="26">
    <w:abstractNumId w:val="10"/>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0AB"/>
    <w:rsid w:val="002277AC"/>
    <w:rsid w:val="0024521B"/>
    <w:rsid w:val="002E3C4A"/>
    <w:rsid w:val="004029A6"/>
    <w:rsid w:val="0062661E"/>
    <w:rsid w:val="00662F68"/>
    <w:rsid w:val="006F12E2"/>
    <w:rsid w:val="009E21DA"/>
    <w:rsid w:val="00AE20AB"/>
    <w:rsid w:val="00C61382"/>
    <w:rsid w:val="00C719B2"/>
    <w:rsid w:val="00DF5D5F"/>
    <w:rsid w:val="00ED277A"/>
    <w:rsid w:val="08815F3B"/>
    <w:rsid w:val="0D8977F9"/>
    <w:rsid w:val="12954AD3"/>
    <w:rsid w:val="14430478"/>
    <w:rsid w:val="15426F29"/>
    <w:rsid w:val="192948D9"/>
    <w:rsid w:val="1CC12308"/>
    <w:rsid w:val="20126C0C"/>
    <w:rsid w:val="23E33492"/>
    <w:rsid w:val="282F101D"/>
    <w:rsid w:val="2CE71FEC"/>
    <w:rsid w:val="2F72699E"/>
    <w:rsid w:val="30D34121"/>
    <w:rsid w:val="377D4B35"/>
    <w:rsid w:val="3DD70035"/>
    <w:rsid w:val="4A5E2EFD"/>
    <w:rsid w:val="4BB7478F"/>
    <w:rsid w:val="502B7ADA"/>
    <w:rsid w:val="55B03571"/>
    <w:rsid w:val="588D65F7"/>
    <w:rsid w:val="5D3A17C4"/>
    <w:rsid w:val="5E5B210D"/>
    <w:rsid w:val="5FF06D89"/>
    <w:rsid w:val="61AC3CD1"/>
    <w:rsid w:val="641F27FD"/>
    <w:rsid w:val="68843B39"/>
    <w:rsid w:val="6B4158A2"/>
    <w:rsid w:val="6DA60EB2"/>
    <w:rsid w:val="6EDE3C39"/>
    <w:rsid w:val="74EB16CB"/>
    <w:rsid w:val="78353820"/>
    <w:rsid w:val="792104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numPr>
        <w:ilvl w:val="0"/>
        <w:numId w:val="1"/>
      </w:numPr>
      <w:spacing w:before="50" w:beforeLines="50" w:after="50" w:afterLines="50"/>
      <w:ind w:left="0" w:leftChars="0" w:firstLine="0" w:firstLineChars="0"/>
      <w:outlineLvl w:val="0"/>
    </w:pPr>
    <w:rPr>
      <w:rFonts w:ascii="Times New Roman" w:hAnsi="Times New Roman" w:eastAsia="宋体"/>
      <w:b/>
      <w:bCs/>
      <w:kern w:val="44"/>
      <w:sz w:val="28"/>
      <w:szCs w:val="28"/>
      <w:lang w:val="fr-FR"/>
    </w:rPr>
  </w:style>
  <w:style w:type="paragraph" w:styleId="2">
    <w:name w:val="heading 2"/>
    <w:basedOn w:val="1"/>
    <w:next w:val="1"/>
    <w:qFormat/>
    <w:uiPriority w:val="0"/>
    <w:pPr>
      <w:keepNext/>
      <w:keepLines/>
      <w:widowControl/>
      <w:numPr>
        <w:ilvl w:val="1"/>
        <w:numId w:val="1"/>
      </w:numPr>
      <w:tabs>
        <w:tab w:val="left" w:pos="0"/>
      </w:tabs>
      <w:ind w:left="0" w:firstLine="0" w:firstLineChars="0"/>
      <w:jc w:val="left"/>
      <w:outlineLvl w:val="1"/>
    </w:pPr>
    <w:rPr>
      <w:b/>
      <w:bCs/>
      <w:sz w:val="24"/>
      <w:lang w:val="fr-FR"/>
    </w:rPr>
  </w:style>
  <w:style w:type="paragraph" w:styleId="4">
    <w:name w:val="heading 3"/>
    <w:basedOn w:val="1"/>
    <w:next w:val="1"/>
    <w:qFormat/>
    <w:uiPriority w:val="0"/>
    <w:pPr>
      <w:keepNext/>
      <w:keepLines/>
      <w:numPr>
        <w:ilvl w:val="2"/>
        <w:numId w:val="1"/>
      </w:numPr>
      <w:spacing w:line="360" w:lineRule="auto"/>
      <w:ind w:left="0" w:firstLine="0" w:firstLineChars="0"/>
      <w:outlineLvl w:val="2"/>
    </w:pPr>
    <w:rPr>
      <w:b/>
      <w:bCs/>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unhideWhenUsed/>
    <w:qFormat/>
    <w:uiPriority w:val="99"/>
    <w:pPr>
      <w:spacing w:line="580" w:lineRule="exact"/>
      <w:ind w:firstLine="420" w:firstLineChars="200"/>
    </w:pPr>
    <w:rPr>
      <w:rFonts w:hint="eastAsia" w:ascii="仿宋_GB2312" w:hAnsi="Calibri" w:eastAsia="仿宋_GB2312" w:cs="Times New Roman"/>
      <w:sz w:val="32"/>
      <w:szCs w:val="20"/>
    </w:rPr>
  </w:style>
  <w:style w:type="paragraph" w:styleId="6">
    <w:name w:val="Closing"/>
    <w:basedOn w:val="1"/>
    <w:next w:val="1"/>
    <w:qFormat/>
    <w:uiPriority w:val="0"/>
    <w:pPr>
      <w:widowControl/>
      <w:overflowPunct w:val="0"/>
      <w:autoSpaceDE w:val="0"/>
      <w:autoSpaceDN w:val="0"/>
      <w:ind w:left="100" w:leftChars="2100"/>
    </w:pPr>
    <w:rPr>
      <w:szCs w:val="21"/>
    </w:rPr>
  </w:style>
  <w:style w:type="paragraph" w:styleId="7">
    <w:name w:val="annotation text"/>
    <w:basedOn w:val="1"/>
    <w:semiHidden/>
    <w:unhideWhenUsed/>
    <w:qFormat/>
    <w:uiPriority w:val="99"/>
    <w:pPr>
      <w:jc w:val="left"/>
    </w:pPr>
  </w:style>
  <w:style w:type="paragraph" w:styleId="8">
    <w:name w:val="Body Text"/>
    <w:basedOn w:val="1"/>
    <w:next w:val="1"/>
    <w:qFormat/>
    <w:uiPriority w:val="99"/>
    <w:pPr>
      <w:spacing w:after="120"/>
    </w:pPr>
  </w:style>
  <w:style w:type="paragraph" w:styleId="9">
    <w:name w:val="toc 3"/>
    <w:basedOn w:val="1"/>
    <w:next w:val="1"/>
    <w:qFormat/>
    <w:uiPriority w:val="39"/>
    <w:pPr>
      <w:ind w:left="660" w:leftChars="300" w:firstLine="0" w:firstLineChars="0"/>
      <w:jc w:val="left"/>
    </w:pPr>
    <w:rPr>
      <w:rFonts w:ascii="Times New Roman" w:hAnsi="Times New Roman" w:eastAsia="宋体"/>
      <w:sz w:val="24"/>
      <w:szCs w:val="24"/>
    </w:rPr>
  </w:style>
  <w:style w:type="paragraph" w:styleId="10">
    <w:name w:val="footer"/>
    <w:basedOn w:val="1"/>
    <w:link w:val="21"/>
    <w:unhideWhenUsed/>
    <w:qFormat/>
    <w:uiPriority w:val="99"/>
    <w:pPr>
      <w:tabs>
        <w:tab w:val="center" w:pos="4153"/>
        <w:tab w:val="right" w:pos="8306"/>
      </w:tabs>
      <w:snapToGrid w:val="0"/>
      <w:jc w:val="left"/>
    </w:pPr>
    <w:rPr>
      <w:sz w:val="18"/>
      <w:szCs w:val="18"/>
    </w:rPr>
  </w:style>
  <w:style w:type="paragraph" w:styleId="11">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296"/>
      </w:tabs>
      <w:spacing w:line="360" w:lineRule="auto"/>
      <w:ind w:firstLine="0" w:firstLineChars="0"/>
      <w:jc w:val="left"/>
    </w:pPr>
    <w:rPr>
      <w:rFonts w:ascii="Times New Roman" w:hAnsi="Times New Roman" w:eastAsia="宋体"/>
      <w:b/>
      <w:bCs/>
      <w:sz w:val="24"/>
      <w:szCs w:val="24"/>
    </w:rPr>
  </w:style>
  <w:style w:type="paragraph" w:styleId="13">
    <w:name w:val="toc 2"/>
    <w:basedOn w:val="1"/>
    <w:next w:val="1"/>
    <w:qFormat/>
    <w:uiPriority w:val="39"/>
    <w:pPr>
      <w:tabs>
        <w:tab w:val="left" w:pos="845"/>
        <w:tab w:val="right" w:leader="dot" w:pos="8080"/>
      </w:tabs>
      <w:spacing w:line="360" w:lineRule="auto"/>
      <w:ind w:left="220" w:leftChars="100" w:right="0" w:rightChars="0" w:firstLine="0" w:firstLineChars="0"/>
      <w:jc w:val="left"/>
    </w:pPr>
    <w:rPr>
      <w:rFonts w:ascii="Times New Roman" w:hAnsi="Times New Roman" w:eastAsia="宋体"/>
      <w:sz w:val="24"/>
      <w:szCs w:val="24"/>
    </w:rPr>
  </w:style>
  <w:style w:type="paragraph" w:styleId="14">
    <w:name w:val="Normal (Web)"/>
    <w:basedOn w:val="1"/>
    <w:qFormat/>
    <w:uiPriority w:val="99"/>
    <w:rPr>
      <w:sz w:val="24"/>
    </w:rPr>
  </w:style>
  <w:style w:type="table" w:styleId="16">
    <w:name w:val="Table Grid"/>
    <w:basedOn w:val="15"/>
    <w:qFormat/>
    <w:uiPriority w:val="0"/>
    <w:rPr>
      <w:rFonts w:eastAsia="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qFormat/>
    <w:uiPriority w:val="0"/>
    <w:rPr>
      <w:rFonts w:cs="Times New Roman"/>
    </w:rPr>
  </w:style>
  <w:style w:type="character" w:styleId="19">
    <w:name w:val="Hyperlink"/>
    <w:basedOn w:val="17"/>
    <w:semiHidden/>
    <w:unhideWhenUsed/>
    <w:qFormat/>
    <w:uiPriority w:val="99"/>
    <w:rPr>
      <w:color w:val="0000FF"/>
      <w:u w:val="single"/>
    </w:rPr>
  </w:style>
  <w:style w:type="character" w:customStyle="1" w:styleId="20">
    <w:name w:val="页眉 Char"/>
    <w:basedOn w:val="17"/>
    <w:link w:val="11"/>
    <w:qFormat/>
    <w:uiPriority w:val="99"/>
    <w:rPr>
      <w:sz w:val="18"/>
      <w:szCs w:val="18"/>
    </w:rPr>
  </w:style>
  <w:style w:type="character" w:customStyle="1" w:styleId="21">
    <w:name w:val="页脚 Char"/>
    <w:basedOn w:val="17"/>
    <w:link w:val="10"/>
    <w:qFormat/>
    <w:uiPriority w:val="99"/>
    <w:rPr>
      <w:sz w:val="18"/>
      <w:szCs w:val="18"/>
    </w:rPr>
  </w:style>
  <w:style w:type="paragraph" w:customStyle="1" w:styleId="22">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23">
    <w:name w:val="List Paragraph"/>
    <w:basedOn w:val="1"/>
    <w:qFormat/>
    <w:uiPriority w:val="99"/>
    <w:pPr>
      <w:ind w:firstLine="420" w:firstLineChars="200"/>
    </w:pPr>
    <w:rPr>
      <w:sz w:val="28"/>
      <w:szCs w:val="28"/>
    </w:rPr>
  </w:style>
  <w:style w:type="paragraph" w:customStyle="1" w:styleId="24">
    <w:name w:val="样式6"/>
    <w:basedOn w:val="25"/>
    <w:qFormat/>
    <w:uiPriority w:val="0"/>
    <w:pPr>
      <w:ind w:firstLine="0" w:firstLineChars="0"/>
    </w:pPr>
  </w:style>
  <w:style w:type="paragraph" w:customStyle="1" w:styleId="25">
    <w:name w:val="样式4"/>
    <w:basedOn w:val="1"/>
    <w:qFormat/>
    <w:uiPriority w:val="0"/>
    <w:pPr>
      <w:spacing w:line="360" w:lineRule="auto"/>
      <w:ind w:firstLine="480" w:firstLineChars="200"/>
    </w:pPr>
    <w:rPr>
      <w:rFonts w:ascii="仿宋" w:hAnsi="仿宋" w:eastAsia="仿宋"/>
      <w:sz w:val="24"/>
    </w:rPr>
  </w:style>
  <w:style w:type="character" w:customStyle="1" w:styleId="26">
    <w:name w:val="样式 小四"/>
    <w:qFormat/>
    <w:uiPriority w:val="0"/>
    <w:rPr>
      <w:sz w:val="21"/>
    </w:rPr>
  </w:style>
  <w:style w:type="paragraph" w:customStyle="1" w:styleId="27">
    <w:name w:val="Table Paragraph"/>
    <w:basedOn w:val="1"/>
    <w:qFormat/>
    <w:uiPriority w:val="1"/>
    <w:pPr>
      <w:autoSpaceDE w:val="0"/>
      <w:autoSpaceDN w:val="0"/>
      <w:spacing w:line="240" w:lineRule="auto"/>
      <w:ind w:firstLine="0" w:firstLineChars="0"/>
      <w:contextualSpacing w:val="0"/>
      <w:jc w:val="center"/>
    </w:pPr>
    <w:rPr>
      <w:rFonts w:ascii="微软雅黑" w:hAnsi="微软雅黑" w:eastAsia="微软雅黑" w:cs="微软雅黑"/>
      <w:kern w:val="0"/>
      <w:sz w:val="22"/>
      <w:szCs w:val="22"/>
      <w:lang w:eastAsia="en-US"/>
    </w:rPr>
  </w:style>
  <w:style w:type="paragraph" w:customStyle="1" w:styleId="28">
    <w:name w:val="样式 左侧:  2 字符 首行缩进:  2 字符"/>
    <w:basedOn w:val="1"/>
    <w:qFormat/>
    <w:uiPriority w:val="0"/>
    <w:pPr>
      <w:ind w:firstLine="420"/>
    </w:pPr>
    <w:rPr>
      <w:rFonts w:ascii="Times New Roman" w:hAnsi="Times New Roman" w:eastAsia="宋体" w:cs="宋体"/>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270</Words>
  <Characters>295</Characters>
  <Lines>32</Lines>
  <Paragraphs>20</Paragraphs>
  <TotalTime>1</TotalTime>
  <ScaleCrop>false</ScaleCrop>
  <LinksUpToDate>false</LinksUpToDate>
  <CharactersWithSpaces>545</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2021-04-29T03:47:00Z</dcterms:created>
  <dc:creator>季云峰/采办项目组/集团公司机关</dc:creator>
  <cp:lastModifiedBy>崔宗明</cp:lastModifiedBy>
  <cp:lastPrinted>2022-05-04T23:48:00Z</cp:lastPrinted>
  <dcterms:modified xsi:type="dcterms:W3CDTF">2026-04-02T08:49:49Z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371917AB2E3E4E47B958F12F59AF21EA</vt:lpwstr>
  </property>
</Properties>
</file>