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outlineLvl w:val="0"/>
        <w:rPr>
          <w:rFonts w:hint="default" w:ascii="宋体" w:hAnsi="Times New Roman" w:eastAsia="宋体"/>
          <w:b/>
          <w:sz w:val="32"/>
          <w:szCs w:val="32"/>
          <w:lang w:val="en-US" w:eastAsia="zh-CN"/>
        </w:rPr>
      </w:pPr>
      <w:r>
        <w:rPr>
          <w:rFonts w:hint="default" w:ascii="宋体" w:hAnsi="Times New Roman" w:eastAsia="宋体"/>
          <w:b/>
          <w:sz w:val="32"/>
          <w:szCs w:val="32"/>
          <w:lang w:val="en-US" w:eastAsia="zh-CN"/>
        </w:rPr>
        <w:t xml:space="preserve"> </w:t>
      </w:r>
      <w:r>
        <w:rPr>
          <w:rFonts w:hint="eastAsia" w:ascii="宋体" w:hAnsi="Times New Roman" w:eastAsia="宋体"/>
          <w:b/>
          <w:sz w:val="32"/>
          <w:szCs w:val="32"/>
          <w:lang w:val="en-US" w:eastAsia="zh-CN"/>
        </w:rPr>
        <w:t>附件</w:t>
      </w:r>
      <w:r>
        <w:rPr>
          <w:rFonts w:hint="default" w:ascii="宋体" w:hAnsi="Times New Roman" w:eastAsia="宋体"/>
          <w:b/>
          <w:sz w:val="32"/>
          <w:szCs w:val="32"/>
          <w:lang w:val="en-US" w:eastAsia="zh-CN"/>
        </w:rPr>
        <w:t>2</w:t>
      </w:r>
      <w:r>
        <w:rPr>
          <w:rFonts w:hint="eastAsia" w:ascii="宋体" w:hAnsi="Times New Roman" w:eastAsia="宋体"/>
          <w:b/>
          <w:sz w:val="32"/>
          <w:szCs w:val="32"/>
          <w:lang w:val="en-US" w:eastAsia="zh-CN"/>
        </w:rPr>
        <w:t>：</w:t>
      </w:r>
    </w:p>
    <w:p>
      <w:pPr>
        <w:spacing w:line="360" w:lineRule="auto"/>
        <w:jc w:val="center"/>
        <w:outlineLvl w:val="0"/>
        <w:rPr>
          <w:rFonts w:ascii="宋体" w:hAnsi="Times New Roman" w:eastAsia="宋体"/>
          <w:b/>
          <w:color w:val="000000"/>
          <w:sz w:val="32"/>
          <w:szCs w:val="32"/>
        </w:rPr>
      </w:pPr>
      <w:r>
        <w:rPr>
          <w:rFonts w:hint="eastAsia" w:ascii="宋体" w:hAnsi="Times New Roman" w:eastAsia="宋体"/>
          <w:b/>
          <w:sz w:val="32"/>
          <w:szCs w:val="32"/>
        </w:rPr>
        <w:t xml:space="preserve">评 分 </w:t>
      </w:r>
      <w:r>
        <w:rPr>
          <w:rFonts w:hint="eastAsia" w:ascii="宋体" w:hAnsi="Times New Roman" w:eastAsia="宋体"/>
          <w:b/>
          <w:color w:val="000000"/>
          <w:sz w:val="32"/>
          <w:szCs w:val="32"/>
        </w:rPr>
        <w:t>标 准</w:t>
      </w:r>
    </w:p>
    <w:p>
      <w:pPr>
        <w:spacing w:line="360" w:lineRule="auto"/>
        <w:jc w:val="left"/>
        <w:outlineLvl w:val="0"/>
        <w:rPr>
          <w:rFonts w:ascii="宋体" w:hAnsi="Times New Roman" w:eastAsia="宋体"/>
          <w:b/>
          <w:color w:val="000000"/>
          <w:sz w:val="24"/>
          <w:szCs w:val="24"/>
        </w:rPr>
      </w:pPr>
      <w:r>
        <w:rPr>
          <w:rFonts w:hint="eastAsia" w:ascii="宋体" w:hAnsi="Times New Roman" w:eastAsia="宋体"/>
          <w:b/>
          <w:color w:val="000000"/>
          <w:sz w:val="24"/>
          <w:szCs w:val="24"/>
        </w:rPr>
        <w:t>1、报价得分部分</w:t>
      </w:r>
    </w:p>
    <w:tbl>
      <w:tblPr>
        <w:tblStyle w:val="6"/>
        <w:tblW w:w="506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6"/>
        <w:gridCol w:w="7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exact"/>
        </w:trPr>
        <w:tc>
          <w:tcPr>
            <w:tcW w:w="779" w:type="pct"/>
            <w:vAlign w:val="center"/>
          </w:tcPr>
          <w:p>
            <w:pPr>
              <w:spacing w:line="360" w:lineRule="auto"/>
              <w:rPr>
                <w:rFonts w:ascii="宋体" w:hAnsi="Times New Roman" w:eastAsia="宋体"/>
                <w:sz w:val="24"/>
                <w:szCs w:val="24"/>
              </w:rPr>
            </w:pPr>
            <w:r>
              <w:rPr>
                <w:rFonts w:hint="eastAsia" w:ascii="宋体" w:hAnsi="Times New Roman" w:eastAsia="宋体"/>
                <w:sz w:val="24"/>
                <w:szCs w:val="24"/>
              </w:rPr>
              <w:t>报价得分</w:t>
            </w:r>
          </w:p>
          <w:p>
            <w:pPr>
              <w:spacing w:line="360" w:lineRule="auto"/>
              <w:jc w:val="left"/>
              <w:rPr>
                <w:rFonts w:ascii="宋体" w:hAnsi="Times New Roman" w:eastAsia="宋体"/>
                <w:sz w:val="24"/>
                <w:szCs w:val="24"/>
              </w:rPr>
            </w:pPr>
            <w:r>
              <w:rPr>
                <w:rFonts w:hint="eastAsia" w:ascii="宋体" w:hAnsi="Times New Roman" w:eastAsia="宋体"/>
                <w:sz w:val="24"/>
                <w:szCs w:val="24"/>
              </w:rPr>
              <w:t>（</w:t>
            </w:r>
            <w:r>
              <w:rPr>
                <w:rFonts w:ascii="宋体" w:hAnsi="Times New Roman" w:eastAsia="宋体"/>
                <w:sz w:val="24"/>
                <w:szCs w:val="24"/>
              </w:rPr>
              <w:t>20</w:t>
            </w:r>
            <w:r>
              <w:rPr>
                <w:rFonts w:hint="eastAsia" w:ascii="宋体" w:hAnsi="Times New Roman" w:eastAsia="宋体"/>
                <w:sz w:val="24"/>
                <w:szCs w:val="24"/>
              </w:rPr>
              <w:t>分）</w:t>
            </w:r>
          </w:p>
        </w:tc>
        <w:tc>
          <w:tcPr>
            <w:tcW w:w="4220" w:type="pct"/>
            <w:vAlign w:val="center"/>
          </w:tcPr>
          <w:p>
            <w:pPr>
              <w:widowControl/>
              <w:snapToGrid w:val="0"/>
              <w:spacing w:line="240" w:lineRule="auto"/>
              <w:jc w:val="left"/>
              <w:rPr>
                <w:rFonts w:ascii="宋体" w:hAnsi="Times New Roman" w:eastAsia="宋体"/>
                <w:sz w:val="24"/>
                <w:szCs w:val="24"/>
              </w:rPr>
            </w:pPr>
            <w:r>
              <w:rPr>
                <w:rFonts w:hint="eastAsia" w:ascii="宋体" w:hAnsi="Times New Roman" w:eastAsia="宋体"/>
                <w:sz w:val="24"/>
                <w:szCs w:val="24"/>
              </w:rPr>
              <w:t>满足招标文件要求且投标价格最低的投标报价为评标基准价，其价格分为满分。其他投标人的价格分统一按照下列公式计算：</w:t>
            </w:r>
          </w:p>
          <w:p>
            <w:pPr>
              <w:widowControl/>
              <w:snapToGrid w:val="0"/>
              <w:spacing w:line="240" w:lineRule="auto"/>
              <w:jc w:val="left"/>
              <w:rPr>
                <w:rFonts w:ascii="宋体" w:hAnsi="Times New Roman" w:eastAsia="宋体"/>
                <w:sz w:val="24"/>
                <w:szCs w:val="24"/>
              </w:rPr>
            </w:pPr>
            <w:r>
              <w:rPr>
                <w:rFonts w:hint="eastAsia" w:ascii="宋体" w:hAnsi="Times New Roman" w:eastAsia="宋体"/>
                <w:sz w:val="24"/>
                <w:szCs w:val="24"/>
              </w:rPr>
              <w:t>投标报价得分</w:t>
            </w:r>
            <w:r>
              <w:rPr>
                <w:rFonts w:ascii="宋体" w:hAnsi="Times New Roman" w:eastAsia="宋体"/>
                <w:sz w:val="24"/>
                <w:szCs w:val="24"/>
              </w:rPr>
              <w:t>=（评标基准价／投标报价）×20%×100</w:t>
            </w:r>
          </w:p>
          <w:p>
            <w:pPr>
              <w:widowControl/>
              <w:snapToGrid w:val="0"/>
              <w:spacing w:line="240" w:lineRule="auto"/>
              <w:jc w:val="left"/>
              <w:rPr>
                <w:rFonts w:ascii="宋体" w:hAnsi="Times New Roman" w:eastAsia="宋体"/>
                <w:sz w:val="24"/>
                <w:szCs w:val="24"/>
              </w:rPr>
            </w:pPr>
            <w:r>
              <w:rPr>
                <w:rFonts w:ascii="宋体" w:hAnsi="Times New Roman" w:eastAsia="宋体"/>
                <w:sz w:val="24"/>
                <w:szCs w:val="24"/>
              </w:rPr>
              <w:t>1）未实质性响应招标文件的投标人的投标报价不参与报价得分的计算。</w:t>
            </w:r>
          </w:p>
          <w:p>
            <w:pPr>
              <w:spacing w:line="240" w:lineRule="auto"/>
              <w:rPr>
                <w:rFonts w:ascii="宋体" w:hAnsi="Times New Roman" w:eastAsia="宋体"/>
                <w:sz w:val="24"/>
                <w:szCs w:val="24"/>
              </w:rPr>
            </w:pPr>
            <w:r>
              <w:rPr>
                <w:rFonts w:ascii="宋体" w:hAnsi="Times New Roman" w:eastAsia="宋体"/>
                <w:sz w:val="24"/>
                <w:szCs w:val="24"/>
              </w:rPr>
              <w:t>2）投标人报价价格比构成不合理、弄虚作假的，将否决其投标。</w:t>
            </w:r>
          </w:p>
        </w:tc>
      </w:tr>
    </w:tbl>
    <w:p>
      <w:pPr>
        <w:spacing w:line="360" w:lineRule="auto"/>
        <w:outlineLvl w:val="0"/>
        <w:rPr>
          <w:rFonts w:ascii="宋体" w:hAnsi="Times New Roman" w:eastAsia="宋体" w:cs="宋体"/>
          <w:b/>
          <w:bCs/>
          <w:sz w:val="24"/>
          <w:szCs w:val="24"/>
        </w:rPr>
      </w:pPr>
      <w:r>
        <w:rPr>
          <w:rFonts w:hint="eastAsia" w:ascii="宋体" w:hAnsi="Times New Roman" w:eastAsia="宋体" w:cs="宋体"/>
          <w:b/>
          <w:bCs/>
          <w:sz w:val="24"/>
          <w:szCs w:val="24"/>
        </w:rPr>
        <w:t>2、商务部分（</w:t>
      </w:r>
      <w:r>
        <w:rPr>
          <w:rFonts w:ascii="宋体" w:hAnsi="Times New Roman" w:eastAsia="宋体" w:cs="宋体"/>
          <w:b/>
          <w:bCs/>
          <w:sz w:val="24"/>
          <w:szCs w:val="24"/>
        </w:rPr>
        <w:t>40</w:t>
      </w:r>
      <w:r>
        <w:rPr>
          <w:rFonts w:hint="eastAsia" w:ascii="宋体" w:hAnsi="Times New Roman" w:eastAsia="宋体" w:cs="宋体"/>
          <w:b/>
          <w:bCs/>
          <w:sz w:val="24"/>
          <w:szCs w:val="24"/>
        </w:rPr>
        <w:t>分）</w:t>
      </w:r>
    </w:p>
    <w:tbl>
      <w:tblPr>
        <w:tblStyle w:val="6"/>
        <w:tblpPr w:leftFromText="180" w:rightFromText="180" w:vertAnchor="text" w:horzAnchor="page" w:tblpX="1717" w:tblpY="432"/>
        <w:tblOverlap w:val="never"/>
        <w:tblW w:w="86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770"/>
        <w:gridCol w:w="6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Times New Roman" w:eastAsia="宋体" w:cs="宋体"/>
                <w:b/>
                <w:bCs/>
                <w:sz w:val="24"/>
                <w:szCs w:val="24"/>
              </w:rPr>
            </w:pPr>
            <w:r>
              <w:rPr>
                <w:rFonts w:hint="eastAsia" w:ascii="宋体" w:hAnsi="Times New Roman" w:eastAsia="宋体" w:cs="宋体"/>
                <w:b/>
                <w:bCs/>
                <w:sz w:val="28"/>
                <w:szCs w:val="28"/>
              </w:rPr>
              <w:t>评分项</w:t>
            </w:r>
          </w:p>
        </w:tc>
        <w:tc>
          <w:tcPr>
            <w:tcW w:w="77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Times New Roman" w:eastAsia="宋体" w:cs="宋体"/>
                <w:b/>
                <w:bCs/>
                <w:sz w:val="24"/>
                <w:szCs w:val="24"/>
              </w:rPr>
            </w:pPr>
            <w:r>
              <w:rPr>
                <w:rFonts w:hint="eastAsia" w:ascii="宋体" w:hAnsi="Times New Roman" w:eastAsia="宋体" w:cs="宋体"/>
                <w:b/>
                <w:bCs/>
                <w:sz w:val="24"/>
                <w:szCs w:val="24"/>
              </w:rPr>
              <w:t>标准分</w:t>
            </w:r>
          </w:p>
        </w:tc>
        <w:tc>
          <w:tcPr>
            <w:tcW w:w="6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Times New Roman" w:eastAsia="宋体" w:cs="宋体"/>
                <w:b/>
                <w:bCs/>
                <w:sz w:val="24"/>
                <w:szCs w:val="24"/>
              </w:rPr>
            </w:pPr>
            <w:r>
              <w:rPr>
                <w:rFonts w:hint="eastAsia" w:ascii="宋体" w:hAnsi="Times New Roman" w:eastAsia="宋体" w:cs="宋体"/>
                <w:b/>
                <w:bCs/>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trPr>
        <w:tc>
          <w:tcPr>
            <w:tcW w:w="106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Times New Roman" w:eastAsia="宋体" w:cs="宋体"/>
                <w:sz w:val="24"/>
                <w:szCs w:val="24"/>
              </w:rPr>
            </w:pPr>
            <w:r>
              <w:rPr>
                <w:rFonts w:hint="eastAsia" w:ascii="宋体" w:hAnsi="Times New Roman" w:eastAsia="宋体" w:cs="宋体"/>
                <w:sz w:val="24"/>
                <w:szCs w:val="24"/>
              </w:rPr>
              <w:t>投标人项目经验</w:t>
            </w:r>
          </w:p>
        </w:tc>
        <w:tc>
          <w:tcPr>
            <w:tcW w:w="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Times New Roman" w:eastAsia="宋体" w:cs="宋体"/>
                <w:sz w:val="24"/>
                <w:szCs w:val="24"/>
              </w:rPr>
            </w:pPr>
            <w:r>
              <w:rPr>
                <w:rFonts w:hint="eastAsia" w:ascii="宋体" w:hAnsi="Times New Roman" w:eastAsia="宋体" w:cs="宋体"/>
                <w:sz w:val="24"/>
                <w:szCs w:val="24"/>
              </w:rPr>
              <w:t>2</w:t>
            </w:r>
            <w:r>
              <w:rPr>
                <w:rFonts w:ascii="宋体" w:hAnsi="Times New Roman" w:eastAsia="宋体" w:cs="宋体"/>
                <w:sz w:val="24"/>
                <w:szCs w:val="24"/>
              </w:rPr>
              <w:t>0</w:t>
            </w:r>
          </w:p>
        </w:tc>
        <w:tc>
          <w:tcPr>
            <w:tcW w:w="685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default" w:ascii="宋体" w:hAnsi="Times New Roman" w:eastAsia="宋体" w:cs="宋体"/>
                <w:b/>
                <w:bCs/>
                <w:color w:val="000000" w:themeColor="text1"/>
                <w:sz w:val="24"/>
                <w:szCs w:val="24"/>
                <w:highlight w:val="none"/>
                <w:lang w:val="en-US" w:eastAsia="zh-CN"/>
                <w14:textFill>
                  <w14:solidFill>
                    <w14:schemeClr w14:val="tx1"/>
                  </w14:solidFill>
                </w14:textFill>
              </w:rPr>
            </w:pPr>
            <w:r>
              <w:rPr>
                <w:rFonts w:hint="eastAsia" w:ascii="宋体" w:hAnsi="Times New Roman" w:eastAsia="宋体" w:cs="宋体"/>
                <w:b/>
                <w:bCs/>
                <w:color w:val="000000" w:themeColor="text1"/>
                <w:sz w:val="24"/>
                <w:szCs w:val="24"/>
                <w:highlight w:val="none"/>
                <w:lang w:val="en-US" w:eastAsia="zh-CN"/>
                <w14:textFill>
                  <w14:solidFill>
                    <w14:schemeClr w14:val="tx1"/>
                  </w14:solidFill>
                </w14:textFill>
              </w:rPr>
              <w:t>（一）评分内容：</w:t>
            </w:r>
          </w:p>
          <w:p>
            <w:pPr>
              <w:rPr>
                <w:rFonts w:ascii="宋体" w:hAnsi="Times New Roman" w:eastAsia="宋体" w:cs="宋体"/>
                <w:color w:val="000000" w:themeColor="text1"/>
                <w:sz w:val="24"/>
                <w:szCs w:val="24"/>
                <w:highlight w:val="none"/>
                <w14:textFill>
                  <w14:solidFill>
                    <w14:schemeClr w14:val="tx1"/>
                  </w14:solidFill>
                </w14:textFill>
              </w:rPr>
            </w:pPr>
            <w:r>
              <w:rPr>
                <w:rFonts w:hint="eastAsia" w:ascii="宋体" w:hAnsi="Times New Roman" w:eastAsia="宋体" w:cs="宋体"/>
                <w:color w:val="000000" w:themeColor="text1"/>
                <w:sz w:val="24"/>
                <w:szCs w:val="24"/>
                <w:highlight w:val="none"/>
                <w14:textFill>
                  <w14:solidFill>
                    <w14:schemeClr w14:val="tx1"/>
                  </w14:solidFill>
                </w14:textFill>
              </w:rPr>
              <w:t>自202</w:t>
            </w:r>
            <w:r>
              <w:rPr>
                <w:rFonts w:hint="eastAsia" w:ascii="宋体" w:hAnsi="Times New Roman" w:eastAsia="宋体" w:cs="宋体"/>
                <w:color w:val="000000" w:themeColor="text1"/>
                <w:sz w:val="24"/>
                <w:szCs w:val="24"/>
                <w:highlight w:val="none"/>
                <w:lang w:val="en-US" w:eastAsia="zh-CN"/>
                <w14:textFill>
                  <w14:solidFill>
                    <w14:schemeClr w14:val="tx1"/>
                  </w14:solidFill>
                </w14:textFill>
              </w:rPr>
              <w:t>0</w:t>
            </w:r>
            <w:r>
              <w:rPr>
                <w:rFonts w:hint="eastAsia" w:ascii="宋体" w:hAnsi="Times New Roman" w:eastAsia="宋体" w:cs="宋体"/>
                <w:color w:val="000000" w:themeColor="text1"/>
                <w:sz w:val="24"/>
                <w:szCs w:val="24"/>
                <w:highlight w:val="none"/>
                <w14:textFill>
                  <w14:solidFill>
                    <w14:schemeClr w14:val="tx1"/>
                  </w14:solidFill>
                </w14:textFill>
              </w:rPr>
              <w:t>年1月1日至本项目投标截止日止（以合同</w:t>
            </w:r>
            <w:r>
              <w:rPr>
                <w:rFonts w:hint="eastAsia" w:ascii="宋体" w:hAnsi="Times New Roman" w:eastAsia="宋体" w:cs="宋体"/>
                <w:color w:val="000000" w:themeColor="text1"/>
                <w:sz w:val="24"/>
                <w:szCs w:val="24"/>
                <w:highlight w:val="none"/>
                <w:lang w:val="en-US" w:eastAsia="zh-CN"/>
                <w14:textFill>
                  <w14:solidFill>
                    <w14:schemeClr w14:val="tx1"/>
                  </w14:solidFill>
                </w14:textFill>
              </w:rPr>
              <w:t>签订</w:t>
            </w:r>
            <w:r>
              <w:rPr>
                <w:rFonts w:hint="eastAsia" w:ascii="宋体" w:hAnsi="Times New Roman" w:eastAsia="宋体" w:cs="宋体"/>
                <w:color w:val="000000" w:themeColor="text1"/>
                <w:sz w:val="24"/>
                <w:szCs w:val="24"/>
                <w:highlight w:val="none"/>
                <w14:textFill>
                  <w14:solidFill>
                    <w14:schemeClr w14:val="tx1"/>
                  </w14:solidFill>
                </w14:textFill>
              </w:rPr>
              <w:t>时间为准）</w:t>
            </w:r>
            <w:r>
              <w:rPr>
                <w:rFonts w:hint="eastAsia" w:ascii="宋体" w:hAnsi="Times New Roman" w:eastAsia="宋体" w:cs="宋体"/>
                <w:color w:val="000000" w:themeColor="text1"/>
                <w:sz w:val="24"/>
                <w:szCs w:val="24"/>
                <w:highlight w:val="none"/>
                <w:lang w:eastAsia="zh-CN"/>
                <w14:textFill>
                  <w14:solidFill>
                    <w14:schemeClr w14:val="tx1"/>
                  </w14:solidFill>
                </w14:textFill>
              </w:rPr>
              <w:t>，</w:t>
            </w:r>
            <w:r>
              <w:rPr>
                <w:rFonts w:hint="eastAsia" w:ascii="宋体" w:hAnsi="Times New Roman" w:eastAsia="宋体" w:cs="宋体"/>
                <w:color w:val="000000" w:themeColor="text1"/>
                <w:sz w:val="24"/>
                <w:szCs w:val="24"/>
                <w:highlight w:val="none"/>
                <w14:textFill>
                  <w14:solidFill>
                    <w14:schemeClr w14:val="tx1"/>
                  </w14:solidFill>
                </w14:textFill>
              </w:rPr>
              <w:t>承担过</w:t>
            </w:r>
            <w:r>
              <w:rPr>
                <w:rFonts w:hint="eastAsia" w:ascii="宋体" w:hAnsi="Times New Roman" w:eastAsia="宋体" w:cs="宋体"/>
                <w:color w:val="000000" w:themeColor="text1"/>
                <w:sz w:val="24"/>
                <w:szCs w:val="24"/>
                <w:highlight w:val="none"/>
                <w:lang w:val="en-US" w:eastAsia="zh-CN"/>
                <w14:textFill>
                  <w14:solidFill>
                    <w14:schemeClr w14:val="tx1"/>
                  </w14:solidFill>
                </w14:textFill>
              </w:rPr>
              <w:t>汽车领域的专项资金审核工作</w:t>
            </w:r>
            <w:r>
              <w:rPr>
                <w:rFonts w:hint="eastAsia" w:ascii="宋体" w:hAnsi="Times New Roman" w:eastAsia="宋体" w:cs="宋体"/>
                <w:color w:val="000000" w:themeColor="text1"/>
                <w:sz w:val="24"/>
                <w:szCs w:val="24"/>
                <w:highlight w:val="none"/>
                <w14:textFill>
                  <w14:solidFill>
                    <w14:schemeClr w14:val="tx1"/>
                  </w14:solidFill>
                </w14:textFill>
              </w:rPr>
              <w:t>；</w:t>
            </w:r>
          </w:p>
          <w:p>
            <w:pPr>
              <w:rPr>
                <w:rFonts w:hint="eastAsia" w:ascii="宋体" w:hAnsi="Times New Roman" w:eastAsia="宋体" w:cs="宋体"/>
                <w:color w:val="000000" w:themeColor="text1"/>
                <w:sz w:val="24"/>
                <w:szCs w:val="24"/>
                <w:highlight w:val="none"/>
                <w:lang w:eastAsia="zh-CN"/>
                <w14:textFill>
                  <w14:solidFill>
                    <w14:schemeClr w14:val="tx1"/>
                  </w14:solidFill>
                </w14:textFill>
              </w:rPr>
            </w:pPr>
            <w:r>
              <w:rPr>
                <w:rFonts w:hint="eastAsia" w:ascii="宋体" w:hAnsi="Times New Roman" w:eastAsia="宋体" w:cs="宋体"/>
                <w:color w:val="000000" w:themeColor="text1"/>
                <w:sz w:val="24"/>
                <w:szCs w:val="24"/>
                <w:highlight w:val="none"/>
                <w14:textFill>
                  <w14:solidFill>
                    <w14:schemeClr w14:val="tx1"/>
                  </w14:solidFill>
                </w14:textFill>
              </w:rPr>
              <w:t>每提供一个项目合同证明材料得</w:t>
            </w:r>
            <w:r>
              <w:rPr>
                <w:rFonts w:hint="eastAsia" w:ascii="宋体" w:hAnsi="Times New Roman" w:eastAsia="宋体" w:cs="宋体"/>
                <w:color w:val="000000" w:themeColor="text1"/>
                <w:sz w:val="24"/>
                <w:szCs w:val="24"/>
                <w:highlight w:val="none"/>
                <w:lang w:val="en-US" w:eastAsia="zh-CN"/>
                <w14:textFill>
                  <w14:solidFill>
                    <w14:schemeClr w14:val="tx1"/>
                  </w14:solidFill>
                </w14:textFill>
              </w:rPr>
              <w:t>4</w:t>
            </w:r>
            <w:r>
              <w:rPr>
                <w:rFonts w:hint="eastAsia" w:ascii="宋体" w:hAnsi="Times New Roman" w:eastAsia="宋体" w:cs="宋体"/>
                <w:color w:val="000000" w:themeColor="text1"/>
                <w:sz w:val="24"/>
                <w:szCs w:val="24"/>
                <w:highlight w:val="none"/>
                <w14:textFill>
                  <w14:solidFill>
                    <w14:schemeClr w14:val="tx1"/>
                  </w14:solidFill>
                </w14:textFill>
              </w:rPr>
              <w:t>分</w:t>
            </w:r>
            <w:r>
              <w:rPr>
                <w:rFonts w:hint="eastAsia" w:ascii="宋体" w:hAnsi="Times New Roman" w:eastAsia="宋体" w:cs="宋体"/>
                <w:color w:val="000000" w:themeColor="text1"/>
                <w:sz w:val="24"/>
                <w:szCs w:val="24"/>
                <w:highlight w:val="none"/>
                <w:lang w:eastAsia="zh-CN"/>
                <w14:textFill>
                  <w14:solidFill>
                    <w14:schemeClr w14:val="tx1"/>
                  </w14:solidFill>
                </w14:textFill>
              </w:rPr>
              <w:t>，</w:t>
            </w:r>
            <w:r>
              <w:rPr>
                <w:rFonts w:hint="eastAsia" w:ascii="宋体" w:hAnsi="Times New Roman" w:eastAsia="宋体" w:cs="宋体"/>
                <w:color w:val="000000" w:themeColor="text1"/>
                <w:sz w:val="24"/>
                <w:szCs w:val="24"/>
                <w:highlight w:val="none"/>
                <w14:textFill>
                  <w14:solidFill>
                    <w14:schemeClr w14:val="tx1"/>
                  </w14:solidFill>
                </w14:textFill>
              </w:rPr>
              <w:t>最高得20分</w:t>
            </w:r>
            <w:r>
              <w:rPr>
                <w:rFonts w:hint="eastAsia" w:ascii="宋体" w:hAnsi="Times New Roman" w:eastAsia="宋体" w:cs="宋体"/>
                <w:color w:val="000000" w:themeColor="text1"/>
                <w:sz w:val="24"/>
                <w:szCs w:val="24"/>
                <w:highlight w:val="none"/>
                <w:lang w:eastAsia="zh-CN"/>
                <w14:textFill>
                  <w14:solidFill>
                    <w14:schemeClr w14:val="tx1"/>
                  </w14:solidFill>
                </w14:textFill>
              </w:rPr>
              <w:t>；</w:t>
            </w:r>
          </w:p>
          <w:p>
            <w:pPr>
              <w:rPr>
                <w:rFonts w:hint="eastAsia" w:ascii="宋体" w:hAnsi="Times New Roman" w:eastAsia="宋体" w:cs="宋体"/>
                <w:color w:val="000000" w:themeColor="text1"/>
                <w:sz w:val="24"/>
                <w:szCs w:val="24"/>
                <w:highlight w:val="none"/>
                <w14:textFill>
                  <w14:solidFill>
                    <w14:schemeClr w14:val="tx1"/>
                  </w14:solidFill>
                </w14:textFill>
              </w:rPr>
            </w:pPr>
            <w:r>
              <w:rPr>
                <w:rFonts w:hint="eastAsia" w:ascii="宋体" w:hAnsi="Times New Roman" w:eastAsia="宋体" w:cs="宋体"/>
                <w:color w:val="000000" w:themeColor="text1"/>
                <w:sz w:val="24"/>
                <w:szCs w:val="24"/>
                <w:highlight w:val="none"/>
                <w14:textFill>
                  <w14:solidFill>
                    <w14:schemeClr w14:val="tx1"/>
                  </w14:solidFill>
                </w14:textFill>
              </w:rPr>
              <w:t>不能提供的不得分。</w:t>
            </w:r>
          </w:p>
          <w:p>
            <w:pPr>
              <w:rPr>
                <w:rFonts w:hint="eastAsia" w:ascii="宋体" w:hAnsi="Times New Roman" w:eastAsia="宋体" w:cs="宋体"/>
                <w:b/>
                <w:bCs/>
                <w:color w:val="000000" w:themeColor="text1"/>
                <w:sz w:val="24"/>
                <w:szCs w:val="24"/>
                <w:highlight w:val="none"/>
                <w:lang w:val="en-US" w:eastAsia="zh-CN"/>
                <w14:textFill>
                  <w14:solidFill>
                    <w14:schemeClr w14:val="tx1"/>
                  </w14:solidFill>
                </w14:textFill>
              </w:rPr>
            </w:pPr>
            <w:r>
              <w:rPr>
                <w:rFonts w:hint="eastAsia" w:ascii="宋体" w:hAnsi="Times New Roman" w:eastAsia="宋体" w:cs="宋体"/>
                <w:b/>
                <w:bCs/>
                <w:color w:val="000000" w:themeColor="text1"/>
                <w:sz w:val="24"/>
                <w:szCs w:val="24"/>
                <w:highlight w:val="none"/>
                <w:lang w:val="en-US" w:eastAsia="zh-CN"/>
                <w14:textFill>
                  <w14:solidFill>
                    <w14:schemeClr w14:val="tx1"/>
                  </w14:solidFill>
                </w14:textFill>
              </w:rPr>
              <w:t>（二）评分依据：</w:t>
            </w:r>
          </w:p>
          <w:p>
            <w:pPr>
              <w:rPr>
                <w:rFonts w:hint="eastAsia" w:ascii="宋体" w:hAnsi="Times New Roman" w:eastAsia="宋体" w:cs="宋体"/>
                <w:color w:val="000000" w:themeColor="text1"/>
                <w:sz w:val="24"/>
                <w:szCs w:val="24"/>
                <w:highlight w:val="none"/>
                <w:lang w:val="en-US" w:eastAsia="zh-CN"/>
                <w14:textFill>
                  <w14:solidFill>
                    <w14:schemeClr w14:val="tx1"/>
                  </w14:solidFill>
                </w14:textFill>
              </w:rPr>
            </w:pPr>
            <w:r>
              <w:rPr>
                <w:rFonts w:hint="eastAsia" w:ascii="宋体" w:hAnsi="Times New Roman" w:eastAsia="宋体" w:cs="宋体"/>
                <w:color w:val="000000" w:themeColor="text1"/>
                <w:sz w:val="24"/>
                <w:szCs w:val="24"/>
                <w:highlight w:val="none"/>
                <w:lang w:val="en-US" w:eastAsia="zh-CN"/>
                <w14:textFill>
                  <w14:solidFill>
                    <w14:schemeClr w14:val="tx1"/>
                  </w14:solidFill>
                </w14:textFill>
              </w:rPr>
              <w:t>1.提供协议、合同关键信息（含签订合同双方的单位名称、合同项目名称、项目金额与含签订合同双方的落款盖章、签订日期的关键页）。</w:t>
            </w:r>
          </w:p>
          <w:p>
            <w:pPr>
              <w:rPr>
                <w:rFonts w:hint="default" w:ascii="宋体" w:hAnsi="Times New Roman" w:eastAsia="宋体" w:cs="宋体"/>
                <w:color w:val="000000" w:themeColor="text1"/>
                <w:sz w:val="24"/>
                <w:szCs w:val="24"/>
                <w:highlight w:val="none"/>
                <w:lang w:val="en-US" w:eastAsia="zh-CN"/>
                <w14:textFill>
                  <w14:solidFill>
                    <w14:schemeClr w14:val="tx1"/>
                  </w14:solidFill>
                </w14:textFill>
              </w:rPr>
            </w:pPr>
            <w:r>
              <w:rPr>
                <w:rFonts w:hint="eastAsia" w:ascii="宋体" w:hAnsi="Times New Roman" w:eastAsia="宋体" w:cs="宋体"/>
                <w:color w:val="000000" w:themeColor="text1"/>
                <w:sz w:val="24"/>
                <w:szCs w:val="24"/>
                <w:highlight w:val="none"/>
                <w:lang w:val="en-US" w:eastAsia="zh-CN"/>
                <w14:textFill>
                  <w14:solidFill>
                    <w14:schemeClr w14:val="tx1"/>
                  </w14:solidFill>
                </w14:textFill>
              </w:rPr>
              <w:t>2.评分中出现无证明资料或无法凭所提供资料判断是否得分的情况，一律作不得分处理。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106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宋体" w:hAnsi="Times New Roman" w:eastAsia="宋体" w:cs="宋体"/>
                <w:sz w:val="24"/>
                <w:szCs w:val="24"/>
                <w:lang w:val="en-US" w:eastAsia="zh-CN"/>
              </w:rPr>
            </w:pPr>
            <w:r>
              <w:rPr>
                <w:rFonts w:hint="eastAsia" w:ascii="宋体" w:hAnsi="Times New Roman" w:eastAsia="宋体" w:cs="宋体"/>
                <w:sz w:val="24"/>
                <w:szCs w:val="24"/>
              </w:rPr>
              <w:t>项目团队</w:t>
            </w:r>
            <w:r>
              <w:rPr>
                <w:rFonts w:hint="eastAsia" w:ascii="宋体" w:hAnsi="Times New Roman" w:eastAsia="宋体" w:cs="宋体"/>
                <w:sz w:val="24"/>
                <w:szCs w:val="24"/>
                <w:lang w:val="en-US" w:eastAsia="zh-CN"/>
              </w:rPr>
              <w:t>负责人情况（仅限一人）</w:t>
            </w:r>
          </w:p>
        </w:tc>
        <w:tc>
          <w:tcPr>
            <w:tcW w:w="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宋体" w:hAnsi="Times New Roman" w:eastAsia="宋体" w:cs="宋体"/>
                <w:sz w:val="24"/>
                <w:szCs w:val="24"/>
                <w:lang w:val="en-US" w:eastAsia="zh-CN"/>
              </w:rPr>
            </w:pPr>
            <w:r>
              <w:rPr>
                <w:rFonts w:hint="eastAsia" w:ascii="宋体" w:hAnsi="Times New Roman" w:eastAsia="宋体" w:cs="宋体"/>
                <w:sz w:val="24"/>
                <w:szCs w:val="24"/>
                <w:lang w:val="en-US" w:eastAsia="zh-CN"/>
              </w:rPr>
              <w:t>10</w:t>
            </w:r>
          </w:p>
        </w:tc>
        <w:tc>
          <w:tcPr>
            <w:tcW w:w="685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default" w:ascii="宋体" w:hAnsi="Times New Roman" w:eastAsia="宋体" w:cs="宋体"/>
                <w:b/>
                <w:bCs/>
                <w:color w:val="000000" w:themeColor="text1"/>
                <w:sz w:val="24"/>
                <w:szCs w:val="24"/>
                <w:highlight w:val="none"/>
                <w:lang w:val="en-US" w:eastAsia="zh-CN"/>
                <w14:textFill>
                  <w14:solidFill>
                    <w14:schemeClr w14:val="tx1"/>
                  </w14:solidFill>
                </w14:textFill>
              </w:rPr>
            </w:pPr>
            <w:r>
              <w:rPr>
                <w:rFonts w:hint="eastAsia" w:ascii="宋体" w:hAnsi="Times New Roman" w:eastAsia="宋体" w:cs="宋体"/>
                <w:b/>
                <w:bCs/>
                <w:color w:val="000000" w:themeColor="text1"/>
                <w:sz w:val="24"/>
                <w:szCs w:val="24"/>
                <w:highlight w:val="none"/>
                <w:lang w:val="en-US" w:eastAsia="zh-CN"/>
                <w14:textFill>
                  <w14:solidFill>
                    <w14:schemeClr w14:val="tx1"/>
                  </w14:solidFill>
                </w14:textFill>
              </w:rPr>
              <w:t>（一）评分内容：</w:t>
            </w:r>
          </w:p>
          <w:p>
            <w:pPr>
              <w:rPr>
                <w:rFonts w:hint="eastAsia" w:ascii="宋体" w:hAnsi="Times New Roman" w:eastAsia="宋体" w:cs="宋体"/>
                <w:color w:val="000000" w:themeColor="text1"/>
                <w:sz w:val="24"/>
                <w:szCs w:val="24"/>
                <w:highlight w:val="none"/>
                <w14:textFill>
                  <w14:solidFill>
                    <w14:schemeClr w14:val="tx1"/>
                  </w14:solidFill>
                </w14:textFill>
              </w:rPr>
            </w:pPr>
            <w:r>
              <w:rPr>
                <w:rFonts w:hint="eastAsia" w:ascii="宋体" w:hAnsi="Times New Roman" w:eastAsia="宋体" w:cs="宋体"/>
                <w:color w:val="000000" w:themeColor="text1"/>
                <w:sz w:val="24"/>
                <w:szCs w:val="24"/>
                <w:highlight w:val="none"/>
                <w14:textFill>
                  <w14:solidFill>
                    <w14:schemeClr w14:val="tx1"/>
                  </w14:solidFill>
                </w14:textFill>
              </w:rPr>
              <w:t>1.项目</w:t>
            </w:r>
            <w:r>
              <w:rPr>
                <w:rFonts w:hint="eastAsia" w:ascii="宋体" w:hAnsi="Times New Roman" w:eastAsia="宋体" w:cs="宋体"/>
                <w:color w:val="000000" w:themeColor="text1"/>
                <w:sz w:val="24"/>
                <w:szCs w:val="24"/>
                <w:highlight w:val="none"/>
                <w:lang w:val="en-US" w:eastAsia="zh-CN"/>
                <w14:textFill>
                  <w14:solidFill>
                    <w14:schemeClr w14:val="tx1"/>
                  </w14:solidFill>
                </w14:textFill>
              </w:rPr>
              <w:t>团队</w:t>
            </w:r>
            <w:r>
              <w:rPr>
                <w:rFonts w:hint="eastAsia" w:ascii="宋体" w:hAnsi="Times New Roman" w:eastAsia="宋体" w:cs="宋体"/>
                <w:color w:val="000000" w:themeColor="text1"/>
                <w:sz w:val="24"/>
                <w:szCs w:val="24"/>
                <w:highlight w:val="none"/>
                <w14:textFill>
                  <w14:solidFill>
                    <w14:schemeClr w14:val="tx1"/>
                  </w14:solidFill>
                </w14:textFill>
              </w:rPr>
              <w:t>负责人</w:t>
            </w:r>
            <w:r>
              <w:rPr>
                <w:rFonts w:hint="eastAsia" w:ascii="宋体" w:hAnsi="Times New Roman" w:eastAsia="宋体" w:cs="宋体"/>
                <w:color w:val="000000" w:themeColor="text1"/>
                <w:sz w:val="24"/>
                <w:szCs w:val="24"/>
                <w:highlight w:val="none"/>
                <w:lang w:val="en-US" w:eastAsia="zh-CN"/>
                <w14:textFill>
                  <w14:solidFill>
                    <w14:schemeClr w14:val="tx1"/>
                  </w14:solidFill>
                </w14:textFill>
              </w:rPr>
              <w:t>具</w:t>
            </w:r>
            <w:r>
              <w:rPr>
                <w:rFonts w:hint="eastAsia" w:ascii="宋体" w:hAnsi="Times New Roman" w:eastAsia="宋体" w:cs="宋体"/>
                <w:color w:val="000000" w:themeColor="text1"/>
                <w:sz w:val="24"/>
                <w:szCs w:val="24"/>
                <w:highlight w:val="none"/>
                <w14:textFill>
                  <w14:solidFill>
                    <w14:schemeClr w14:val="tx1"/>
                  </w14:solidFill>
                </w14:textFill>
              </w:rPr>
              <w:t>有中级或以上职称的得</w:t>
            </w:r>
            <w:r>
              <w:rPr>
                <w:rFonts w:hint="eastAsia" w:ascii="宋体" w:hAnsi="Times New Roman" w:eastAsia="宋体" w:cs="宋体"/>
                <w:color w:val="000000" w:themeColor="text1"/>
                <w:sz w:val="24"/>
                <w:szCs w:val="24"/>
                <w:highlight w:val="none"/>
                <w:lang w:val="en-US" w:eastAsia="zh-CN"/>
                <w14:textFill>
                  <w14:solidFill>
                    <w14:schemeClr w14:val="tx1"/>
                  </w14:solidFill>
                </w14:textFill>
              </w:rPr>
              <w:t>5</w:t>
            </w:r>
            <w:r>
              <w:rPr>
                <w:rFonts w:hint="eastAsia" w:ascii="宋体" w:hAnsi="Times New Roman" w:eastAsia="宋体" w:cs="宋体"/>
                <w:color w:val="000000" w:themeColor="text1"/>
                <w:sz w:val="24"/>
                <w:szCs w:val="24"/>
                <w:highlight w:val="none"/>
                <w14:textFill>
                  <w14:solidFill>
                    <w14:schemeClr w14:val="tx1"/>
                  </w14:solidFill>
                </w14:textFill>
              </w:rPr>
              <w:t>分；</w:t>
            </w:r>
          </w:p>
          <w:p>
            <w:pPr>
              <w:rPr>
                <w:rFonts w:hint="eastAsia" w:ascii="宋体" w:hAnsi="Times New Roman" w:eastAsia="宋体" w:cs="宋体"/>
                <w:color w:val="000000" w:themeColor="text1"/>
                <w:sz w:val="24"/>
                <w:szCs w:val="24"/>
                <w:highlight w:val="none"/>
                <w14:textFill>
                  <w14:solidFill>
                    <w14:schemeClr w14:val="tx1"/>
                  </w14:solidFill>
                </w14:textFill>
              </w:rPr>
            </w:pPr>
            <w:r>
              <w:rPr>
                <w:rFonts w:hint="eastAsia" w:ascii="宋体" w:hAnsi="Times New Roman" w:eastAsia="宋体" w:cs="宋体"/>
                <w:color w:val="000000" w:themeColor="text1"/>
                <w:sz w:val="24"/>
                <w:szCs w:val="24"/>
                <w:highlight w:val="none"/>
                <w14:textFill>
                  <w14:solidFill>
                    <w14:schemeClr w14:val="tx1"/>
                  </w14:solidFill>
                </w14:textFill>
              </w:rPr>
              <w:t>2.具有硕士研究生或以上学历得</w:t>
            </w:r>
            <w:r>
              <w:rPr>
                <w:rFonts w:hint="eastAsia" w:ascii="宋体" w:hAnsi="Times New Roman" w:eastAsia="宋体" w:cs="宋体"/>
                <w:color w:val="000000" w:themeColor="text1"/>
                <w:sz w:val="24"/>
                <w:szCs w:val="24"/>
                <w:highlight w:val="none"/>
                <w:lang w:val="en-US" w:eastAsia="zh-CN"/>
                <w14:textFill>
                  <w14:solidFill>
                    <w14:schemeClr w14:val="tx1"/>
                  </w14:solidFill>
                </w14:textFill>
              </w:rPr>
              <w:t>5</w:t>
            </w:r>
            <w:r>
              <w:rPr>
                <w:rFonts w:hint="eastAsia" w:ascii="宋体" w:hAnsi="Times New Roman" w:eastAsia="宋体" w:cs="宋体"/>
                <w:color w:val="000000" w:themeColor="text1"/>
                <w:sz w:val="24"/>
                <w:szCs w:val="24"/>
                <w:highlight w:val="none"/>
                <w14:textFill>
                  <w14:solidFill>
                    <w14:schemeClr w14:val="tx1"/>
                  </w14:solidFill>
                </w14:textFill>
              </w:rPr>
              <w:t>分；</w:t>
            </w:r>
          </w:p>
          <w:p>
            <w:pPr>
              <w:rPr>
                <w:rFonts w:hint="eastAsia" w:ascii="宋体" w:hAnsi="Times New Roman" w:eastAsia="宋体" w:cs="宋体"/>
                <w:color w:val="000000" w:themeColor="text1"/>
                <w:sz w:val="24"/>
                <w:szCs w:val="24"/>
                <w:highlight w:val="none"/>
                <w14:textFill>
                  <w14:solidFill>
                    <w14:schemeClr w14:val="tx1"/>
                  </w14:solidFill>
                </w14:textFill>
              </w:rPr>
            </w:pPr>
            <w:r>
              <w:rPr>
                <w:rFonts w:hint="eastAsia" w:ascii="宋体" w:hAnsi="Times New Roman" w:eastAsia="宋体" w:cs="宋体"/>
                <w:color w:val="000000" w:themeColor="text1"/>
                <w:sz w:val="24"/>
                <w:szCs w:val="24"/>
                <w:highlight w:val="none"/>
                <w14:textFill>
                  <w14:solidFill>
                    <w14:schemeClr w14:val="tx1"/>
                  </w14:solidFill>
                </w14:textFill>
              </w:rPr>
              <w:t>上述二项累计得分，最高得</w:t>
            </w:r>
            <w:r>
              <w:rPr>
                <w:rFonts w:hint="eastAsia" w:ascii="宋体" w:hAnsi="Times New Roman" w:eastAsia="宋体" w:cs="宋体"/>
                <w:color w:val="000000" w:themeColor="text1"/>
                <w:sz w:val="24"/>
                <w:szCs w:val="24"/>
                <w:highlight w:val="none"/>
                <w:lang w:val="en-US" w:eastAsia="zh-CN"/>
                <w14:textFill>
                  <w14:solidFill>
                    <w14:schemeClr w14:val="tx1"/>
                  </w14:solidFill>
                </w14:textFill>
              </w:rPr>
              <w:t>10</w:t>
            </w:r>
            <w:r>
              <w:rPr>
                <w:rFonts w:hint="eastAsia" w:ascii="宋体" w:hAnsi="Times New Roman" w:eastAsia="宋体" w:cs="宋体"/>
                <w:color w:val="000000" w:themeColor="text1"/>
                <w:sz w:val="24"/>
                <w:szCs w:val="24"/>
                <w:highlight w:val="none"/>
                <w14:textFill>
                  <w14:solidFill>
                    <w14:schemeClr w14:val="tx1"/>
                  </w14:solidFill>
                </w14:textFill>
              </w:rPr>
              <w:t>分。</w:t>
            </w:r>
          </w:p>
          <w:p>
            <w:pPr>
              <w:rPr>
                <w:rFonts w:hint="eastAsia" w:ascii="宋体" w:hAnsi="Times New Roman" w:eastAsia="宋体" w:cs="宋体"/>
                <w:b/>
                <w:bCs/>
                <w:color w:val="000000" w:themeColor="text1"/>
                <w:sz w:val="24"/>
                <w:szCs w:val="24"/>
                <w:highlight w:val="none"/>
                <w:lang w:val="en-US" w:eastAsia="zh-CN"/>
                <w14:textFill>
                  <w14:solidFill>
                    <w14:schemeClr w14:val="tx1"/>
                  </w14:solidFill>
                </w14:textFill>
              </w:rPr>
            </w:pPr>
            <w:r>
              <w:rPr>
                <w:rFonts w:hint="eastAsia" w:ascii="宋体" w:hAnsi="Times New Roman" w:eastAsia="宋体" w:cs="宋体"/>
                <w:b/>
                <w:bCs/>
                <w:color w:val="000000" w:themeColor="text1"/>
                <w:sz w:val="24"/>
                <w:szCs w:val="24"/>
                <w:highlight w:val="none"/>
                <w:lang w:val="en-US" w:eastAsia="zh-CN"/>
                <w14:textFill>
                  <w14:solidFill>
                    <w14:schemeClr w14:val="tx1"/>
                  </w14:solidFill>
                </w14:textFill>
              </w:rPr>
              <w:t>（二）评分依据：</w:t>
            </w:r>
          </w:p>
          <w:p>
            <w:pPr>
              <w:rPr>
                <w:rFonts w:hint="eastAsia" w:ascii="宋体" w:hAnsi="Times New Roman" w:eastAsia="宋体" w:cs="宋体"/>
                <w:color w:val="000000" w:themeColor="text1"/>
                <w:sz w:val="24"/>
                <w:szCs w:val="24"/>
                <w:highlight w:val="none"/>
                <w:lang w:val="en-US" w:eastAsia="zh-CN"/>
                <w14:textFill>
                  <w14:solidFill>
                    <w14:schemeClr w14:val="tx1"/>
                  </w14:solidFill>
                </w14:textFill>
              </w:rPr>
            </w:pPr>
            <w:r>
              <w:rPr>
                <w:rFonts w:hint="eastAsia" w:ascii="宋体" w:hAnsi="Times New Roman" w:eastAsia="宋体" w:cs="宋体"/>
                <w:color w:val="000000" w:themeColor="text1"/>
                <w:sz w:val="24"/>
                <w:szCs w:val="24"/>
                <w:highlight w:val="none"/>
                <w:lang w:val="en-US" w:eastAsia="zh-CN"/>
                <w14:textFill>
                  <w14:solidFill>
                    <w14:schemeClr w14:val="tx1"/>
                  </w14:solidFill>
                </w14:textFill>
              </w:rPr>
              <w:t>1.提供至投标截止日期前三个月内社保证明（如开标日上一个月的社保材料因社保部门原因暂时无法取得，则可以往前顺延一个月。如供应商为新成立企业且成立时间不足三个月可提供加盖公章的情况说明或者证明材料亦视为符合）</w:t>
            </w:r>
          </w:p>
          <w:p>
            <w:pPr>
              <w:rPr>
                <w:rFonts w:hint="eastAsia" w:ascii="宋体" w:hAnsi="Times New Roman" w:eastAsia="宋体" w:cs="宋体"/>
                <w:color w:val="000000" w:themeColor="text1"/>
                <w:sz w:val="24"/>
                <w:szCs w:val="24"/>
                <w:highlight w:val="none"/>
                <w:lang w:val="en-US" w:eastAsia="zh-CN"/>
                <w14:textFill>
                  <w14:solidFill>
                    <w14:schemeClr w14:val="tx1"/>
                  </w14:solidFill>
                </w14:textFill>
              </w:rPr>
            </w:pPr>
            <w:r>
              <w:rPr>
                <w:rFonts w:hint="eastAsia" w:ascii="宋体" w:hAnsi="Times New Roman" w:eastAsia="宋体" w:cs="宋体"/>
                <w:color w:val="000000" w:themeColor="text1"/>
                <w:sz w:val="24"/>
                <w:szCs w:val="24"/>
                <w:highlight w:val="none"/>
                <w:lang w:val="en-US" w:eastAsia="zh-CN"/>
                <w14:textFill>
                  <w14:solidFill>
                    <w14:schemeClr w14:val="tx1"/>
                  </w14:solidFill>
                </w14:textFill>
              </w:rPr>
              <w:t>2.提供职称证书、学历证书以及学信网查询记录，对于较早颁发的学历学位证书，学信网无法查询的，还需提供毕业院校或者人社部门出具的证明，否则无效。</w:t>
            </w:r>
          </w:p>
          <w:p>
            <w:pPr>
              <w:rPr>
                <w:rFonts w:hint="eastAsia" w:ascii="宋体" w:hAnsi="Times New Roman" w:eastAsia="宋体" w:cs="宋体"/>
                <w:color w:val="000000" w:themeColor="text1"/>
                <w:sz w:val="24"/>
                <w:szCs w:val="24"/>
                <w:highlight w:val="none"/>
                <w:lang w:val="en-US" w:eastAsia="zh-CN"/>
                <w14:textFill>
                  <w14:solidFill>
                    <w14:schemeClr w14:val="tx1"/>
                  </w14:solidFill>
                </w14:textFill>
              </w:rPr>
            </w:pPr>
            <w:r>
              <w:rPr>
                <w:rFonts w:hint="eastAsia" w:ascii="宋体" w:hAnsi="Times New Roman" w:eastAsia="宋体" w:cs="宋体"/>
                <w:color w:val="000000" w:themeColor="text1"/>
                <w:sz w:val="24"/>
                <w:szCs w:val="24"/>
                <w:highlight w:val="none"/>
                <w:lang w:val="en-US" w:eastAsia="zh-CN"/>
                <w14:textFill>
                  <w14:solidFill>
                    <w14:schemeClr w14:val="tx1"/>
                  </w14:solidFill>
                </w14:textFill>
              </w:rPr>
              <w:t>3.评分中出现无证明资料或无法凭所提供资料判断是否得分的情况，一律作不得分处理。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Times New Roman" w:eastAsia="宋体" w:cs="宋体"/>
                <w:sz w:val="24"/>
                <w:szCs w:val="24"/>
              </w:rPr>
            </w:pPr>
            <w:r>
              <w:rPr>
                <w:rFonts w:hint="eastAsia" w:ascii="宋体" w:hAnsi="Times New Roman" w:eastAsia="宋体" w:cs="宋体"/>
                <w:sz w:val="24"/>
                <w:szCs w:val="24"/>
              </w:rPr>
              <w:t>项目团队人员情况评价</w:t>
            </w:r>
          </w:p>
        </w:tc>
        <w:tc>
          <w:tcPr>
            <w:tcW w:w="770"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Times New Roman" w:eastAsia="宋体" w:cs="宋体"/>
                <w:sz w:val="24"/>
                <w:szCs w:val="24"/>
                <w:lang w:val="en-US" w:eastAsia="zh-CN"/>
              </w:rPr>
            </w:pPr>
            <w:r>
              <w:rPr>
                <w:rFonts w:hint="eastAsia" w:ascii="宋体" w:hAnsi="Times New Roman" w:eastAsia="宋体" w:cs="宋体"/>
                <w:sz w:val="24"/>
                <w:szCs w:val="24"/>
                <w:lang w:val="en-US" w:eastAsia="zh-CN"/>
              </w:rPr>
              <w:t>10</w:t>
            </w:r>
          </w:p>
        </w:tc>
        <w:tc>
          <w:tcPr>
            <w:tcW w:w="6854" w:type="dxa"/>
            <w:tcBorders>
              <w:top w:val="single" w:color="auto" w:sz="4" w:space="0"/>
              <w:left w:val="single" w:color="auto" w:sz="4" w:space="0"/>
              <w:bottom w:val="single" w:color="auto" w:sz="4" w:space="0"/>
              <w:right w:val="single" w:color="auto" w:sz="4" w:space="0"/>
            </w:tcBorders>
            <w:vAlign w:val="center"/>
          </w:tcPr>
          <w:p>
            <w:pPr>
              <w:rPr>
                <w:rFonts w:hint="default" w:ascii="宋体" w:hAnsi="Times New Roman" w:eastAsia="宋体" w:cs="宋体"/>
                <w:b/>
                <w:bCs/>
                <w:color w:val="000000" w:themeColor="text1"/>
                <w:sz w:val="24"/>
                <w:szCs w:val="24"/>
                <w:highlight w:val="none"/>
                <w:lang w:val="en-US" w:eastAsia="zh-CN"/>
                <w14:textFill>
                  <w14:solidFill>
                    <w14:schemeClr w14:val="tx1"/>
                  </w14:solidFill>
                </w14:textFill>
              </w:rPr>
            </w:pPr>
            <w:r>
              <w:rPr>
                <w:rFonts w:hint="eastAsia" w:ascii="宋体" w:hAnsi="Times New Roman" w:eastAsia="宋体" w:cs="宋体"/>
                <w:b/>
                <w:bCs/>
                <w:color w:val="000000" w:themeColor="text1"/>
                <w:sz w:val="24"/>
                <w:szCs w:val="24"/>
                <w:highlight w:val="none"/>
                <w:lang w:val="en-US" w:eastAsia="zh-CN"/>
                <w14:textFill>
                  <w14:solidFill>
                    <w14:schemeClr w14:val="tx1"/>
                  </w14:solidFill>
                </w14:textFill>
              </w:rPr>
              <w:t>（一）评分内容：</w:t>
            </w:r>
          </w:p>
          <w:p>
            <w:pPr>
              <w:rPr>
                <w:rFonts w:hint="eastAsia" w:ascii="宋体" w:hAnsi="Times New Roman" w:eastAsia="宋体" w:cs="宋体"/>
                <w:color w:val="000000" w:themeColor="text1"/>
                <w:sz w:val="24"/>
                <w:szCs w:val="24"/>
                <w:highlight w:val="none"/>
                <w14:textFill>
                  <w14:solidFill>
                    <w14:schemeClr w14:val="tx1"/>
                  </w14:solidFill>
                </w14:textFill>
              </w:rPr>
            </w:pPr>
            <w:r>
              <w:rPr>
                <w:rFonts w:hint="eastAsia" w:ascii="宋体" w:hAnsi="Times New Roman" w:eastAsia="宋体" w:cs="宋体"/>
                <w:color w:val="000000" w:themeColor="text1"/>
                <w:sz w:val="24"/>
                <w:szCs w:val="24"/>
                <w:highlight w:val="none"/>
                <w14:textFill>
                  <w14:solidFill>
                    <w14:schemeClr w14:val="tx1"/>
                  </w14:solidFill>
                </w14:textFill>
              </w:rPr>
              <w:t>1.团队成员总人数</w:t>
            </w:r>
            <w:r>
              <w:rPr>
                <w:rFonts w:hint="eastAsia" w:ascii="宋体" w:hAnsi="Times New Roman" w:eastAsia="宋体" w:cs="宋体"/>
                <w:color w:val="000000" w:themeColor="text1"/>
                <w:sz w:val="24"/>
                <w:szCs w:val="24"/>
                <w:highlight w:val="none"/>
                <w:lang w:val="en-US" w:eastAsia="zh-CN"/>
                <w14:textFill>
                  <w14:solidFill>
                    <w14:schemeClr w14:val="tx1"/>
                  </w14:solidFill>
                </w14:textFill>
              </w:rPr>
              <w:t>5</w:t>
            </w:r>
            <w:r>
              <w:rPr>
                <w:rFonts w:hint="eastAsia" w:ascii="宋体" w:hAnsi="Times New Roman" w:eastAsia="宋体" w:cs="宋体"/>
                <w:color w:val="000000" w:themeColor="text1"/>
                <w:sz w:val="24"/>
                <w:szCs w:val="24"/>
                <w:highlight w:val="none"/>
                <w14:textFill>
                  <w14:solidFill>
                    <w14:schemeClr w14:val="tx1"/>
                  </w14:solidFill>
                </w14:textFill>
              </w:rPr>
              <w:t>人及以上得</w:t>
            </w:r>
            <w:r>
              <w:rPr>
                <w:rFonts w:hint="eastAsia" w:ascii="宋体" w:hAnsi="Times New Roman" w:eastAsia="宋体" w:cs="宋体"/>
                <w:color w:val="000000" w:themeColor="text1"/>
                <w:sz w:val="24"/>
                <w:szCs w:val="24"/>
                <w:highlight w:val="none"/>
                <w:lang w:val="en-US" w:eastAsia="zh-CN"/>
                <w14:textFill>
                  <w14:solidFill>
                    <w14:schemeClr w14:val="tx1"/>
                  </w14:solidFill>
                </w14:textFill>
              </w:rPr>
              <w:t>6</w:t>
            </w:r>
            <w:r>
              <w:rPr>
                <w:rFonts w:hint="eastAsia" w:ascii="宋体" w:hAnsi="Times New Roman" w:eastAsia="宋体" w:cs="宋体"/>
                <w:color w:val="000000" w:themeColor="text1"/>
                <w:sz w:val="24"/>
                <w:szCs w:val="24"/>
                <w:highlight w:val="none"/>
                <w14:textFill>
                  <w14:solidFill>
                    <w14:schemeClr w14:val="tx1"/>
                  </w14:solidFill>
                </w14:textFill>
              </w:rPr>
              <w:t>分</w:t>
            </w:r>
            <w:r>
              <w:rPr>
                <w:rFonts w:hint="eastAsia" w:ascii="宋体" w:hAnsi="Times New Roman" w:eastAsia="宋体" w:cs="宋体"/>
                <w:color w:val="000000" w:themeColor="text1"/>
                <w:sz w:val="24"/>
                <w:szCs w:val="24"/>
                <w:highlight w:val="none"/>
                <w:lang w:eastAsia="zh-CN"/>
                <w14:textFill>
                  <w14:solidFill>
                    <w14:schemeClr w14:val="tx1"/>
                  </w14:solidFill>
                </w14:textFill>
              </w:rPr>
              <w:t>，</w:t>
            </w:r>
            <w:r>
              <w:rPr>
                <w:rFonts w:hint="eastAsia" w:ascii="宋体" w:hAnsi="Times New Roman" w:eastAsia="宋体" w:cs="宋体"/>
                <w:color w:val="000000" w:themeColor="text1"/>
                <w:sz w:val="24"/>
                <w:szCs w:val="24"/>
                <w:highlight w:val="none"/>
                <w14:textFill>
                  <w14:solidFill>
                    <w14:schemeClr w14:val="tx1"/>
                  </w14:solidFill>
                </w14:textFill>
              </w:rPr>
              <w:t>不</w:t>
            </w:r>
            <w:r>
              <w:rPr>
                <w:rFonts w:hint="eastAsia" w:ascii="宋体" w:hAnsi="Times New Roman" w:eastAsia="宋体" w:cs="宋体"/>
                <w:color w:val="000000" w:themeColor="text1"/>
                <w:sz w:val="24"/>
                <w:szCs w:val="24"/>
                <w:highlight w:val="none"/>
                <w:lang w:val="en-US" w:eastAsia="zh-CN"/>
                <w14:textFill>
                  <w14:solidFill>
                    <w14:schemeClr w14:val="tx1"/>
                  </w14:solidFill>
                </w14:textFill>
              </w:rPr>
              <w:t>足5人的</w:t>
            </w:r>
            <w:r>
              <w:rPr>
                <w:rFonts w:hint="eastAsia" w:ascii="宋体" w:hAnsi="Times New Roman" w:eastAsia="宋体" w:cs="宋体"/>
                <w:color w:val="000000" w:themeColor="text1"/>
                <w:sz w:val="24"/>
                <w:szCs w:val="24"/>
                <w:highlight w:val="none"/>
                <w14:textFill>
                  <w14:solidFill>
                    <w14:schemeClr w14:val="tx1"/>
                  </w14:solidFill>
                </w14:textFill>
              </w:rPr>
              <w:t>不得分。</w:t>
            </w:r>
          </w:p>
          <w:p>
            <w:pPr>
              <w:rPr>
                <w:rFonts w:hint="eastAsia" w:ascii="宋体" w:hAnsi="Times New Roman" w:eastAsia="宋体" w:cs="宋体"/>
                <w:color w:val="000000" w:themeColor="text1"/>
                <w:sz w:val="24"/>
                <w:szCs w:val="24"/>
                <w:highlight w:val="none"/>
                <w14:textFill>
                  <w14:solidFill>
                    <w14:schemeClr w14:val="tx1"/>
                  </w14:solidFill>
                </w14:textFill>
              </w:rPr>
            </w:pPr>
            <w:r>
              <w:rPr>
                <w:rFonts w:hint="eastAsia" w:ascii="宋体" w:hAnsi="Times New Roman" w:eastAsia="宋体" w:cs="宋体"/>
                <w:color w:val="000000" w:themeColor="text1"/>
                <w:sz w:val="24"/>
                <w:szCs w:val="24"/>
                <w:highlight w:val="none"/>
                <w14:textFill>
                  <w14:solidFill>
                    <w14:schemeClr w14:val="tx1"/>
                  </w14:solidFill>
                </w14:textFill>
              </w:rPr>
              <w:t>2.团队成员中每一人为硕士研究生及以上学历，得</w:t>
            </w:r>
            <w:r>
              <w:rPr>
                <w:rFonts w:hint="eastAsia" w:ascii="宋体" w:hAnsi="Times New Roman" w:eastAsia="宋体" w:cs="宋体"/>
                <w:color w:val="000000" w:themeColor="text1"/>
                <w:sz w:val="24"/>
                <w:szCs w:val="24"/>
                <w:highlight w:val="none"/>
                <w:lang w:val="en-US" w:eastAsia="zh-CN"/>
                <w14:textFill>
                  <w14:solidFill>
                    <w14:schemeClr w14:val="tx1"/>
                  </w14:solidFill>
                </w14:textFill>
              </w:rPr>
              <w:t>2</w:t>
            </w:r>
            <w:r>
              <w:rPr>
                <w:rFonts w:hint="eastAsia" w:ascii="宋体" w:hAnsi="Times New Roman" w:eastAsia="宋体" w:cs="宋体"/>
                <w:color w:val="000000" w:themeColor="text1"/>
                <w:sz w:val="24"/>
                <w:szCs w:val="24"/>
                <w:highlight w:val="none"/>
                <w14:textFill>
                  <w14:solidFill>
                    <w14:schemeClr w14:val="tx1"/>
                  </w14:solidFill>
                </w14:textFill>
              </w:rPr>
              <w:t>分，最高</w:t>
            </w:r>
            <w:r>
              <w:rPr>
                <w:rFonts w:hint="eastAsia" w:ascii="宋体" w:hAnsi="Times New Roman" w:eastAsia="宋体" w:cs="宋体"/>
                <w:color w:val="000000" w:themeColor="text1"/>
                <w:sz w:val="24"/>
                <w:szCs w:val="24"/>
                <w:highlight w:val="none"/>
                <w:lang w:val="en-US" w:eastAsia="zh-CN"/>
                <w14:textFill>
                  <w14:solidFill>
                    <w14:schemeClr w14:val="tx1"/>
                  </w14:solidFill>
                </w14:textFill>
              </w:rPr>
              <w:t>4</w:t>
            </w:r>
            <w:r>
              <w:rPr>
                <w:rFonts w:hint="eastAsia" w:ascii="宋体" w:hAnsi="Times New Roman" w:eastAsia="宋体" w:cs="宋体"/>
                <w:color w:val="000000" w:themeColor="text1"/>
                <w:sz w:val="24"/>
                <w:szCs w:val="24"/>
                <w:highlight w:val="none"/>
                <w14:textFill>
                  <w14:solidFill>
                    <w14:schemeClr w14:val="tx1"/>
                  </w14:solidFill>
                </w14:textFill>
              </w:rPr>
              <w:t>分。</w:t>
            </w:r>
          </w:p>
          <w:p>
            <w:pPr>
              <w:rPr>
                <w:rFonts w:hint="eastAsia" w:ascii="宋体" w:hAnsi="Times New Roman" w:eastAsia="宋体" w:cs="宋体"/>
                <w:color w:val="000000" w:themeColor="text1"/>
                <w:sz w:val="24"/>
                <w:szCs w:val="24"/>
                <w:highlight w:val="none"/>
                <w14:textFill>
                  <w14:solidFill>
                    <w14:schemeClr w14:val="tx1"/>
                  </w14:solidFill>
                </w14:textFill>
              </w:rPr>
            </w:pPr>
            <w:r>
              <w:rPr>
                <w:rFonts w:hint="eastAsia" w:ascii="宋体" w:hAnsi="Times New Roman" w:eastAsia="宋体" w:cs="宋体"/>
                <w:color w:val="000000" w:themeColor="text1"/>
                <w:sz w:val="24"/>
                <w:szCs w:val="24"/>
                <w:highlight w:val="none"/>
                <w14:textFill>
                  <w14:solidFill>
                    <w14:schemeClr w14:val="tx1"/>
                  </w14:solidFill>
                </w14:textFill>
              </w:rPr>
              <w:t>以上二项累计得分，最高得10分。</w:t>
            </w:r>
          </w:p>
          <w:p>
            <w:pPr>
              <w:rPr>
                <w:rFonts w:hint="eastAsia" w:ascii="宋体" w:hAnsi="Times New Roman" w:eastAsia="宋体" w:cs="宋体"/>
                <w:b/>
                <w:bCs/>
                <w:color w:val="000000" w:themeColor="text1"/>
                <w:sz w:val="24"/>
                <w:szCs w:val="24"/>
                <w:highlight w:val="none"/>
                <w:lang w:val="en-US" w:eastAsia="zh-CN"/>
                <w14:textFill>
                  <w14:solidFill>
                    <w14:schemeClr w14:val="tx1"/>
                  </w14:solidFill>
                </w14:textFill>
              </w:rPr>
            </w:pPr>
            <w:r>
              <w:rPr>
                <w:rFonts w:hint="eastAsia" w:ascii="宋体" w:hAnsi="Times New Roman" w:eastAsia="宋体" w:cs="宋体"/>
                <w:b/>
                <w:bCs/>
                <w:color w:val="000000" w:themeColor="text1"/>
                <w:sz w:val="24"/>
                <w:szCs w:val="24"/>
                <w:highlight w:val="none"/>
                <w:lang w:val="en-US" w:eastAsia="zh-CN"/>
                <w14:textFill>
                  <w14:solidFill>
                    <w14:schemeClr w14:val="tx1"/>
                  </w14:solidFill>
                </w14:textFill>
              </w:rPr>
              <w:t>（二）评分依据：</w:t>
            </w:r>
          </w:p>
          <w:p>
            <w:pPr>
              <w:rPr>
                <w:rFonts w:hint="eastAsia" w:ascii="宋体" w:hAnsi="Times New Roman" w:eastAsia="宋体" w:cs="宋体"/>
                <w:color w:val="000000" w:themeColor="text1"/>
                <w:sz w:val="24"/>
                <w:szCs w:val="24"/>
                <w:highlight w:val="none"/>
                <w14:textFill>
                  <w14:solidFill>
                    <w14:schemeClr w14:val="tx1"/>
                  </w14:solidFill>
                </w14:textFill>
              </w:rPr>
            </w:pPr>
            <w:r>
              <w:rPr>
                <w:rFonts w:hint="eastAsia" w:ascii="宋体" w:hAnsi="Times New Roman" w:eastAsia="宋体" w:cs="宋体"/>
                <w:color w:val="000000" w:themeColor="text1"/>
                <w:sz w:val="24"/>
                <w:szCs w:val="24"/>
                <w:highlight w:val="none"/>
                <w14:textFill>
                  <w14:solidFill>
                    <w14:schemeClr w14:val="tx1"/>
                  </w14:solidFill>
                </w14:textFill>
              </w:rPr>
              <w:t>1.提供至投标截止日期前三个月内社保证明（如开标日上一个月的社保材料因社保部门原因暂时无法取得，则可以往前顺延一个月。如供应商为新成立企业且成立时间不足三个月可提供加盖公章的情况说明或者证明材料亦视为符合）</w:t>
            </w:r>
          </w:p>
          <w:p>
            <w:pPr>
              <w:rPr>
                <w:rFonts w:hint="eastAsia" w:ascii="宋体" w:hAnsi="Times New Roman" w:eastAsia="宋体" w:cs="宋体"/>
                <w:color w:val="000000" w:themeColor="text1"/>
                <w:sz w:val="24"/>
                <w:szCs w:val="24"/>
                <w:highlight w:val="none"/>
                <w14:textFill>
                  <w14:solidFill>
                    <w14:schemeClr w14:val="tx1"/>
                  </w14:solidFill>
                </w14:textFill>
              </w:rPr>
            </w:pPr>
            <w:r>
              <w:rPr>
                <w:rFonts w:hint="eastAsia" w:ascii="宋体" w:hAnsi="Times New Roman" w:eastAsia="宋体" w:cs="宋体"/>
                <w:color w:val="000000" w:themeColor="text1"/>
                <w:sz w:val="24"/>
                <w:szCs w:val="24"/>
                <w:highlight w:val="none"/>
                <w14:textFill>
                  <w14:solidFill>
                    <w14:schemeClr w14:val="tx1"/>
                  </w14:solidFill>
                </w14:textFill>
              </w:rPr>
              <w:t>2.第一项提供团队成员信息列表、分工安排，如未按要求提供则该项不得分。</w:t>
            </w:r>
          </w:p>
          <w:p>
            <w:pPr>
              <w:rPr>
                <w:rFonts w:hint="eastAsia" w:ascii="宋体" w:hAnsi="Times New Roman" w:eastAsia="宋体" w:cs="宋体"/>
                <w:color w:val="000000" w:themeColor="text1"/>
                <w:sz w:val="24"/>
                <w:szCs w:val="24"/>
                <w:highlight w:val="none"/>
                <w14:textFill>
                  <w14:solidFill>
                    <w14:schemeClr w14:val="tx1"/>
                  </w14:solidFill>
                </w14:textFill>
              </w:rPr>
            </w:pPr>
            <w:r>
              <w:rPr>
                <w:rFonts w:hint="eastAsia" w:ascii="宋体" w:hAnsi="Times New Roman" w:eastAsia="宋体" w:cs="宋体"/>
                <w:color w:val="000000" w:themeColor="text1"/>
                <w:sz w:val="24"/>
                <w:szCs w:val="24"/>
                <w:highlight w:val="none"/>
                <w14:textFill>
                  <w14:solidFill>
                    <w14:schemeClr w14:val="tx1"/>
                  </w14:solidFill>
                </w14:textFill>
              </w:rPr>
              <w:t>第二项提供成员学历证书以及学信网查询记录，对于较早颁发的学历学位证书，学信网无法查询的，还需提供毕业院校或者人社部门出具的证明，否则无效。未提供则不得分。</w:t>
            </w:r>
          </w:p>
          <w:p>
            <w:pPr>
              <w:rPr>
                <w:rFonts w:ascii="宋体" w:hAnsi="Times New Roman" w:eastAsia="宋体" w:cs="宋体"/>
                <w:color w:val="000000" w:themeColor="text1"/>
                <w:sz w:val="24"/>
                <w:szCs w:val="24"/>
                <w:highlight w:val="none"/>
                <w14:textFill>
                  <w14:solidFill>
                    <w14:schemeClr w14:val="tx1"/>
                  </w14:solidFill>
                </w14:textFill>
              </w:rPr>
            </w:pPr>
            <w:r>
              <w:rPr>
                <w:rFonts w:hint="eastAsia" w:ascii="宋体" w:hAnsi="Times New Roman" w:eastAsia="宋体" w:cs="宋体"/>
                <w:color w:val="000000" w:themeColor="text1"/>
                <w:sz w:val="24"/>
                <w:szCs w:val="24"/>
                <w:highlight w:val="none"/>
                <w14:textFill>
                  <w14:solidFill>
                    <w14:schemeClr w14:val="tx1"/>
                  </w14:solidFill>
                </w14:textFill>
              </w:rPr>
              <w:t>3.评分中出现无证明资料或无法凭所提供资料判断是否得分的情况，一律作不得分处理。</w:t>
            </w:r>
          </w:p>
        </w:tc>
      </w:tr>
    </w:tbl>
    <w:p>
      <w:pPr>
        <w:rPr>
          <w:rFonts w:ascii="宋体" w:hAnsi="Times New Roman" w:eastAsia="宋体" w:cs="宋体"/>
          <w:b/>
          <w:sz w:val="24"/>
          <w:szCs w:val="24"/>
        </w:rPr>
      </w:pPr>
    </w:p>
    <w:p>
      <w:pPr>
        <w:outlineLvl w:val="0"/>
        <w:rPr>
          <w:rFonts w:hint="eastAsia" w:ascii="宋体" w:hAnsi="Times New Roman" w:eastAsia="宋体" w:cs="宋体"/>
          <w:b/>
          <w:sz w:val="24"/>
          <w:szCs w:val="24"/>
        </w:rPr>
      </w:pPr>
      <w:r>
        <w:rPr>
          <w:rFonts w:hint="eastAsia" w:ascii="宋体" w:hAnsi="Times New Roman" w:eastAsia="宋体" w:cs="宋体"/>
          <w:b/>
          <w:sz w:val="24"/>
          <w:szCs w:val="24"/>
        </w:rPr>
        <w:t>3、技术部分（40分）</w:t>
      </w:r>
    </w:p>
    <w:tbl>
      <w:tblPr>
        <w:tblStyle w:val="6"/>
        <w:tblW w:w="87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795"/>
        <w:gridCol w:w="6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jc w:val="center"/>
        </w:trPr>
        <w:tc>
          <w:tcPr>
            <w:tcW w:w="1134" w:type="dxa"/>
            <w:vAlign w:val="center"/>
          </w:tcPr>
          <w:p>
            <w:pPr>
              <w:spacing w:line="400" w:lineRule="exact"/>
              <w:jc w:val="center"/>
              <w:rPr>
                <w:rFonts w:ascii="宋体" w:hAnsi="Times New Roman" w:eastAsia="宋体" w:cs="宋体"/>
                <w:b/>
                <w:bCs/>
                <w:sz w:val="24"/>
                <w:szCs w:val="24"/>
              </w:rPr>
            </w:pPr>
            <w:r>
              <w:rPr>
                <w:rFonts w:hint="eastAsia" w:ascii="宋体" w:hAnsi="Times New Roman" w:eastAsia="宋体" w:cs="宋体"/>
                <w:b/>
                <w:bCs/>
                <w:sz w:val="24"/>
                <w:szCs w:val="24"/>
              </w:rPr>
              <w:t>评分项</w:t>
            </w:r>
          </w:p>
        </w:tc>
        <w:tc>
          <w:tcPr>
            <w:tcW w:w="795" w:type="dxa"/>
            <w:vAlign w:val="center"/>
          </w:tcPr>
          <w:p>
            <w:pPr>
              <w:spacing w:line="400" w:lineRule="exact"/>
              <w:jc w:val="center"/>
              <w:rPr>
                <w:rFonts w:ascii="宋体" w:hAnsi="Times New Roman" w:eastAsia="宋体" w:cs="宋体"/>
                <w:b/>
                <w:bCs/>
                <w:sz w:val="24"/>
                <w:szCs w:val="24"/>
              </w:rPr>
            </w:pPr>
            <w:r>
              <w:rPr>
                <w:rFonts w:hint="eastAsia" w:ascii="宋体" w:hAnsi="Times New Roman" w:eastAsia="宋体" w:cs="宋体"/>
                <w:b/>
                <w:bCs/>
                <w:sz w:val="24"/>
                <w:szCs w:val="24"/>
              </w:rPr>
              <w:t>标准分</w:t>
            </w:r>
          </w:p>
        </w:tc>
        <w:tc>
          <w:tcPr>
            <w:tcW w:w="6820" w:type="dxa"/>
            <w:vAlign w:val="center"/>
          </w:tcPr>
          <w:p>
            <w:pPr>
              <w:spacing w:line="400" w:lineRule="exact"/>
              <w:jc w:val="center"/>
              <w:rPr>
                <w:rFonts w:ascii="宋体" w:hAnsi="Times New Roman" w:eastAsia="宋体" w:cs="宋体"/>
                <w:b/>
                <w:bCs/>
                <w:sz w:val="24"/>
                <w:szCs w:val="24"/>
              </w:rPr>
            </w:pPr>
            <w:r>
              <w:rPr>
                <w:rFonts w:hint="eastAsia" w:ascii="宋体" w:hAnsi="Times New Roman" w:eastAsia="宋体" w:cs="宋体"/>
                <w:b/>
                <w:bCs/>
                <w:sz w:val="24"/>
                <w:szCs w:val="24"/>
              </w:rPr>
              <w:t>评议标准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134" w:type="dxa"/>
            <w:vMerge w:val="restart"/>
            <w:vAlign w:val="center"/>
          </w:tcPr>
          <w:p>
            <w:pPr>
              <w:spacing w:line="360" w:lineRule="auto"/>
              <w:jc w:val="center"/>
              <w:rPr>
                <w:rFonts w:hint="default"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rPr>
              <w:t>实施方案</w:t>
            </w:r>
          </w:p>
        </w:tc>
        <w:tc>
          <w:tcPr>
            <w:tcW w:w="795" w:type="dxa"/>
            <w:vMerge w:val="restart"/>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10</w:t>
            </w:r>
          </w:p>
        </w:tc>
        <w:tc>
          <w:tcPr>
            <w:tcW w:w="6820" w:type="dxa"/>
            <w:vMerge w:val="restart"/>
            <w:vAlign w:val="center"/>
          </w:tcPr>
          <w:p>
            <w:pPr>
              <w:snapToGrid w:val="0"/>
              <w:rPr>
                <w:rFonts w:asciiTheme="minorEastAsia" w:hAnsi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（一）评分内容：</w:t>
            </w:r>
          </w:p>
          <w:p>
            <w:pPr>
              <w:snapToGrid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针对本项目的需求制定实施方案，内容包括但不限于：</w:t>
            </w:r>
          </w:p>
          <w:p>
            <w:pPr>
              <w:snapToGrid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1.项目实施方案应包括项目背景、工作目标、工作内容；</w:t>
            </w:r>
          </w:p>
          <w:p>
            <w:pPr>
              <w:snapToGrid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2.项目实施方案内容应涵盖本需求的全部工作；</w:t>
            </w:r>
          </w:p>
          <w:p>
            <w:pPr>
              <w:snapToGrid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3.项目实施方案内容要有人员安排。</w:t>
            </w:r>
          </w:p>
          <w:p>
            <w:pPr>
              <w:snapToGrid w:val="0"/>
              <w:rPr>
                <w:rFonts w:asciiTheme="minorEastAsia" w:hAnsi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（二）评分依据：</w:t>
            </w:r>
          </w:p>
          <w:p>
            <w:pPr>
              <w:snapToGrid w:val="0"/>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每满足以上一项要求得2分，最高得</w:t>
            </w: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分；在此基础上</w:t>
            </w:r>
            <w:r>
              <w:rPr>
                <w:rFonts w:hint="eastAsia" w:asciiTheme="minorEastAsia" w:hAnsiTheme="minorEastAsia" w:eastAsiaTheme="minorEastAsia" w:cstheme="minorEastAsia"/>
                <w:color w:val="auto"/>
                <w:sz w:val="24"/>
                <w:szCs w:val="24"/>
                <w:lang w:eastAsia="zh-CN"/>
              </w:rPr>
              <w:t>：</w:t>
            </w:r>
          </w:p>
          <w:p>
            <w:pPr>
              <w:snapToGrid w:val="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评审为优（提供的实施方案准确到位、合理可行）的加</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分；</w:t>
            </w:r>
          </w:p>
          <w:p>
            <w:pPr>
              <w:snapToGrid w:val="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评审为良（提供的实施方案较为准确到位、合理可行）的加</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分；</w:t>
            </w:r>
          </w:p>
          <w:p>
            <w:pPr>
              <w:snapToGrid w:val="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评审为中（提供的实施方案有缺漏但基本到位，可行性低）的加</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分；</w:t>
            </w:r>
          </w:p>
          <w:p>
            <w:pPr>
              <w:snapToGrid w:val="0"/>
              <w:jc w:val="left"/>
              <w:rPr>
                <w:rFonts w:ascii="宋体" w:hAnsi="宋体" w:eastAsia="宋体" w:cs="宋体"/>
                <w:color w:val="auto"/>
                <w:sz w:val="24"/>
                <w:szCs w:val="24"/>
              </w:rPr>
            </w:pPr>
            <w:r>
              <w:rPr>
                <w:rFonts w:hint="eastAsia" w:asciiTheme="minorEastAsia" w:hAnsiTheme="minorEastAsia" w:eastAsiaTheme="minorEastAsia" w:cstheme="minorEastAsia"/>
                <w:color w:val="auto"/>
                <w:sz w:val="24"/>
                <w:szCs w:val="24"/>
              </w:rPr>
              <w:t>评审为差（提供的实施方案不完整，不符合实际的或未提供）不加分。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jc w:val="center"/>
        </w:trPr>
        <w:tc>
          <w:tcPr>
            <w:tcW w:w="1134" w:type="dxa"/>
            <w:vMerge w:val="continue"/>
            <w:vAlign w:val="center"/>
          </w:tcPr>
          <w:p>
            <w:pPr>
              <w:spacing w:line="360" w:lineRule="auto"/>
              <w:rPr>
                <w:rFonts w:ascii="宋体" w:hAnsi="宋体" w:eastAsia="宋体" w:cs="宋体"/>
                <w:sz w:val="24"/>
                <w:szCs w:val="24"/>
              </w:rPr>
            </w:pPr>
          </w:p>
        </w:tc>
        <w:tc>
          <w:tcPr>
            <w:tcW w:w="795" w:type="dxa"/>
            <w:vMerge w:val="continue"/>
            <w:vAlign w:val="center"/>
          </w:tcPr>
          <w:p>
            <w:pPr>
              <w:spacing w:line="360" w:lineRule="auto"/>
              <w:rPr>
                <w:rFonts w:ascii="宋体" w:hAnsi="宋体" w:eastAsia="宋体" w:cs="宋体"/>
                <w:sz w:val="24"/>
                <w:szCs w:val="24"/>
              </w:rPr>
            </w:pPr>
          </w:p>
        </w:tc>
        <w:tc>
          <w:tcPr>
            <w:tcW w:w="6820" w:type="dxa"/>
            <w:vMerge w:val="continue"/>
            <w:vAlign w:val="center"/>
          </w:tcPr>
          <w:p>
            <w:pPr>
              <w:spacing w:line="360" w:lineRule="auto"/>
              <w:rPr>
                <w:rFonts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1134" w:type="dxa"/>
            <w:vMerge w:val="continue"/>
            <w:vAlign w:val="center"/>
          </w:tcPr>
          <w:p>
            <w:pPr>
              <w:spacing w:line="360" w:lineRule="auto"/>
              <w:rPr>
                <w:rFonts w:ascii="宋体" w:hAnsi="宋体" w:eastAsia="宋体" w:cs="宋体"/>
                <w:sz w:val="24"/>
                <w:szCs w:val="24"/>
              </w:rPr>
            </w:pPr>
          </w:p>
        </w:tc>
        <w:tc>
          <w:tcPr>
            <w:tcW w:w="795" w:type="dxa"/>
            <w:vMerge w:val="continue"/>
            <w:vAlign w:val="center"/>
          </w:tcPr>
          <w:p>
            <w:pPr>
              <w:spacing w:line="360" w:lineRule="auto"/>
              <w:rPr>
                <w:rFonts w:ascii="宋体" w:hAnsi="宋体" w:eastAsia="宋体" w:cs="宋体"/>
                <w:sz w:val="24"/>
                <w:szCs w:val="24"/>
              </w:rPr>
            </w:pPr>
          </w:p>
        </w:tc>
        <w:tc>
          <w:tcPr>
            <w:tcW w:w="6820" w:type="dxa"/>
            <w:vMerge w:val="continue"/>
            <w:vAlign w:val="center"/>
          </w:tcPr>
          <w:p>
            <w:pPr>
              <w:spacing w:line="360" w:lineRule="auto"/>
              <w:rPr>
                <w:rFonts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1134" w:type="dxa"/>
            <w:vMerge w:val="restart"/>
            <w:vAlign w:val="center"/>
          </w:tcPr>
          <w:p>
            <w:pPr>
              <w:spacing w:line="360" w:lineRule="auto"/>
              <w:jc w:val="center"/>
              <w:rPr>
                <w:rFonts w:ascii="宋体" w:hAnsi="宋体" w:eastAsia="宋体" w:cs="宋体"/>
                <w:sz w:val="24"/>
                <w:szCs w:val="24"/>
              </w:rPr>
            </w:pPr>
            <w:r>
              <w:rPr>
                <w:rFonts w:hint="eastAsia" w:asciiTheme="minorEastAsia" w:hAnsiTheme="minorEastAsia" w:eastAsiaTheme="minorEastAsia" w:cstheme="minorEastAsia"/>
                <w:kern w:val="0"/>
                <w:sz w:val="24"/>
                <w:szCs w:val="24"/>
              </w:rPr>
              <w:t>项目重点难点分析和解决方案</w:t>
            </w:r>
          </w:p>
        </w:tc>
        <w:tc>
          <w:tcPr>
            <w:tcW w:w="795" w:type="dxa"/>
            <w:vMerge w:val="restart"/>
            <w:vAlign w:val="center"/>
          </w:tcPr>
          <w:p>
            <w:pPr>
              <w:spacing w:line="360" w:lineRule="auto"/>
              <w:jc w:val="center"/>
              <w:rPr>
                <w:rFonts w:hint="default" w:ascii="宋体" w:hAnsi="宋体" w:eastAsia="宋体" w:cs="宋体"/>
                <w:spacing w:val="-14"/>
                <w:sz w:val="24"/>
                <w:szCs w:val="24"/>
                <w:lang w:val="en-US" w:eastAsia="zh-CN"/>
              </w:rPr>
            </w:pPr>
            <w:r>
              <w:rPr>
                <w:rFonts w:hint="eastAsia" w:ascii="宋体" w:hAnsi="宋体" w:eastAsia="宋体" w:cs="宋体"/>
                <w:sz w:val="24"/>
                <w:szCs w:val="24"/>
                <w:lang w:val="en-US" w:eastAsia="zh-CN"/>
              </w:rPr>
              <w:t>10</w:t>
            </w:r>
          </w:p>
        </w:tc>
        <w:tc>
          <w:tcPr>
            <w:tcW w:w="6820" w:type="dxa"/>
            <w:vMerge w:val="restart"/>
            <w:vAlign w:val="center"/>
          </w:tcPr>
          <w:p>
            <w:pPr>
              <w:widowControl/>
              <w:jc w:val="left"/>
              <w:rPr>
                <w:rFonts w:asciiTheme="minorEastAsia" w:hAnsi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（一）评分内容：</w:t>
            </w:r>
          </w:p>
          <w:p>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1.项目重点、难点的分析；</w:t>
            </w:r>
          </w:p>
          <w:p>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2.项目重点、难点的应对措施分析；</w:t>
            </w:r>
          </w:p>
          <w:p>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3.项目实施提出的相关合理化建议。</w:t>
            </w:r>
          </w:p>
          <w:p>
            <w:pPr>
              <w:pStyle w:val="15"/>
              <w:spacing w:line="240" w:lineRule="auto"/>
              <w:rPr>
                <w:rFonts w:asciiTheme="minorEastAsia" w:hAnsiTheme="minorEastAsia" w:cstheme="minorEastAsia"/>
                <w:b/>
                <w:bCs w:val="0"/>
                <w:color w:val="auto"/>
                <w:sz w:val="24"/>
                <w:szCs w:val="24"/>
              </w:rPr>
            </w:pPr>
            <w:r>
              <w:rPr>
                <w:rFonts w:hint="eastAsia" w:asciiTheme="minorEastAsia" w:hAnsiTheme="minorEastAsia" w:cstheme="minorEastAsia"/>
                <w:b/>
                <w:bCs w:val="0"/>
                <w:color w:val="auto"/>
                <w:sz w:val="24"/>
                <w:szCs w:val="24"/>
              </w:rPr>
              <w:t>（二）评分依据：</w:t>
            </w:r>
          </w:p>
          <w:p>
            <w:pPr>
              <w:widowControl/>
              <w:jc w:val="left"/>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每满足以上一项要求得2分，最高得6分；在此基础上</w:t>
            </w:r>
            <w:r>
              <w:rPr>
                <w:rFonts w:hint="eastAsia" w:asciiTheme="minorEastAsia" w:hAnsiTheme="minorEastAsia" w:eastAsiaTheme="minorEastAsia" w:cstheme="minorEastAsia"/>
                <w:color w:val="auto"/>
                <w:kern w:val="0"/>
                <w:sz w:val="24"/>
                <w:szCs w:val="24"/>
                <w:lang w:eastAsia="zh-CN"/>
              </w:rPr>
              <w:t>：</w:t>
            </w:r>
          </w:p>
          <w:p>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评审为优（对重难点理解准确全面，有针对性详细分析，且能提出符合实际且可行性强的应对措施）加4分；</w:t>
            </w:r>
          </w:p>
          <w:p>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评审为良（对重难点理解不准确但进行了针对性详细分析或对重难点理解准确但对重难点分析不全面，应对措施详细但不能完全贴合实际或可行性不强）加2分；</w:t>
            </w:r>
          </w:p>
          <w:p>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评审为中（对重难点理解不准确且重难点分析不全面，应对措施简要且不能贴合实际的）加1分；</w:t>
            </w:r>
          </w:p>
          <w:p>
            <w:pPr>
              <w:widowControl/>
              <w:jc w:val="left"/>
              <w:rPr>
                <w:rFonts w:ascii="宋体" w:hAnsi="宋体" w:eastAsia="宋体" w:cs="宋体"/>
                <w:color w:val="auto"/>
                <w:spacing w:val="-14"/>
                <w:sz w:val="24"/>
                <w:szCs w:val="24"/>
              </w:rPr>
            </w:pPr>
            <w:r>
              <w:rPr>
                <w:rFonts w:hint="eastAsia" w:asciiTheme="minorEastAsia" w:hAnsiTheme="minorEastAsia" w:eastAsiaTheme="minorEastAsia" w:cstheme="minorEastAsia"/>
                <w:color w:val="auto"/>
                <w:kern w:val="0"/>
                <w:sz w:val="24"/>
                <w:szCs w:val="24"/>
              </w:rPr>
              <w:t>评审为差（没有正确理解重难点且没有详细分析，应对措施不符合实际的）不加分。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134" w:type="dxa"/>
            <w:vMerge w:val="continue"/>
            <w:vAlign w:val="center"/>
          </w:tcPr>
          <w:p>
            <w:pPr>
              <w:spacing w:line="360" w:lineRule="auto"/>
              <w:jc w:val="center"/>
              <w:rPr>
                <w:rFonts w:ascii="宋体" w:hAnsi="宋体" w:eastAsia="宋体" w:cs="宋体"/>
                <w:sz w:val="24"/>
                <w:szCs w:val="24"/>
              </w:rPr>
            </w:pPr>
          </w:p>
        </w:tc>
        <w:tc>
          <w:tcPr>
            <w:tcW w:w="795" w:type="dxa"/>
            <w:vMerge w:val="continue"/>
            <w:vAlign w:val="center"/>
          </w:tcPr>
          <w:p>
            <w:pPr>
              <w:widowControl/>
              <w:adjustRightInd w:val="0"/>
              <w:spacing w:line="360" w:lineRule="auto"/>
              <w:textAlignment w:val="baseline"/>
              <w:rPr>
                <w:rFonts w:ascii="宋体" w:hAnsi="宋体" w:eastAsia="宋体" w:cs="宋体"/>
                <w:spacing w:val="-14"/>
                <w:sz w:val="24"/>
                <w:szCs w:val="24"/>
              </w:rPr>
            </w:pPr>
          </w:p>
        </w:tc>
        <w:tc>
          <w:tcPr>
            <w:tcW w:w="6820" w:type="dxa"/>
            <w:vMerge w:val="continue"/>
            <w:vAlign w:val="center"/>
          </w:tcPr>
          <w:p>
            <w:pPr>
              <w:widowControl/>
              <w:adjustRightInd w:val="0"/>
              <w:spacing w:line="360" w:lineRule="auto"/>
              <w:textAlignment w:val="baseline"/>
              <w:rPr>
                <w:rFonts w:ascii="宋体" w:hAnsi="宋体" w:eastAsia="宋体" w:cs="宋体"/>
                <w:color w:val="auto"/>
                <w:spacing w:val="-1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134" w:type="dxa"/>
            <w:vMerge w:val="restart"/>
            <w:vAlign w:val="center"/>
          </w:tcPr>
          <w:p>
            <w:pPr>
              <w:spacing w:line="360" w:lineRule="auto"/>
              <w:jc w:val="center"/>
              <w:rPr>
                <w:rFonts w:ascii="宋体" w:hAnsi="宋体" w:eastAsia="宋体" w:cs="宋体"/>
                <w:sz w:val="24"/>
                <w:szCs w:val="24"/>
              </w:rPr>
            </w:pPr>
            <w:r>
              <w:rPr>
                <w:rFonts w:hint="eastAsia" w:asciiTheme="minorEastAsia" w:hAnsiTheme="minorEastAsia" w:eastAsiaTheme="minorEastAsia" w:cstheme="minorEastAsia"/>
                <w:kern w:val="0"/>
                <w:sz w:val="24"/>
                <w:szCs w:val="24"/>
              </w:rPr>
              <w:t>质量（完成时间、安全、环保）保障措施及方案</w:t>
            </w:r>
          </w:p>
        </w:tc>
        <w:tc>
          <w:tcPr>
            <w:tcW w:w="795" w:type="dxa"/>
            <w:vMerge w:val="restart"/>
            <w:vAlign w:val="center"/>
          </w:tcPr>
          <w:p>
            <w:pPr>
              <w:spacing w:line="360" w:lineRule="auto"/>
              <w:jc w:val="center"/>
              <w:rPr>
                <w:rFonts w:ascii="宋体" w:hAnsi="宋体" w:eastAsia="宋体" w:cs="宋体"/>
                <w:spacing w:val="-14"/>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0</w:t>
            </w:r>
          </w:p>
        </w:tc>
        <w:tc>
          <w:tcPr>
            <w:tcW w:w="6820" w:type="dxa"/>
            <w:vMerge w:val="restart"/>
            <w:vAlign w:val="center"/>
          </w:tcPr>
          <w:p>
            <w:pPr>
              <w:widowControl/>
              <w:jc w:val="left"/>
              <w:rPr>
                <w:rFonts w:asciiTheme="minorEastAsia" w:hAnsi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（一）评分内容：</w:t>
            </w:r>
            <w:bookmarkStart w:id="0" w:name="_GoBack"/>
            <w:bookmarkEnd w:id="0"/>
          </w:p>
          <w:p>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1.项目质量管理，阐述项目质量管理制度与措施；</w:t>
            </w:r>
          </w:p>
          <w:p>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2.应急处理预案，阐述项目应急处理措施；</w:t>
            </w:r>
          </w:p>
          <w:p>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3.成果安全保障，阐述项目资料及成果安全性保障制度与措施。</w:t>
            </w:r>
          </w:p>
          <w:p>
            <w:pPr>
              <w:pStyle w:val="2"/>
              <w:ind w:firstLine="0" w:firstLineChars="0"/>
              <w:rPr>
                <w:rFonts w:asciiTheme="minorEastAsia" w:hAnsiTheme="minorEastAsia" w:cstheme="minorEastAsia"/>
                <w:b/>
                <w:bCs/>
                <w:color w:val="auto"/>
                <w:sz w:val="24"/>
                <w:szCs w:val="24"/>
              </w:rPr>
            </w:pPr>
            <w:r>
              <w:rPr>
                <w:rFonts w:hint="eastAsia" w:asciiTheme="minorEastAsia" w:hAnsiTheme="minorEastAsia" w:cstheme="minorEastAsia"/>
                <w:b/>
                <w:bCs/>
                <w:color w:val="auto"/>
                <w:sz w:val="24"/>
                <w:szCs w:val="24"/>
              </w:rPr>
              <w:t>（二）评分依据：</w:t>
            </w:r>
          </w:p>
          <w:p>
            <w:pPr>
              <w:widowControl/>
              <w:jc w:val="left"/>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每满足以上一项要求得2分，最高得6分</w:t>
            </w:r>
            <w:r>
              <w:rPr>
                <w:rFonts w:hint="eastAsia" w:asciiTheme="minorEastAsia" w:hAnsiTheme="minorEastAsia" w:eastAsiaTheme="minorEastAsia" w:cstheme="minorEastAsia"/>
                <w:color w:val="auto"/>
                <w:kern w:val="0"/>
                <w:sz w:val="24"/>
                <w:szCs w:val="24"/>
                <w:lang w:eastAsia="zh-CN"/>
              </w:rPr>
              <w:t>；</w:t>
            </w:r>
            <w:r>
              <w:rPr>
                <w:rFonts w:hint="eastAsia" w:asciiTheme="minorEastAsia" w:hAnsiTheme="minorEastAsia" w:eastAsiaTheme="minorEastAsia" w:cstheme="minorEastAsia"/>
                <w:color w:val="auto"/>
                <w:kern w:val="0"/>
                <w:sz w:val="24"/>
                <w:szCs w:val="24"/>
              </w:rPr>
              <w:t>在此基础上</w:t>
            </w:r>
            <w:r>
              <w:rPr>
                <w:rFonts w:hint="eastAsia" w:asciiTheme="minorEastAsia" w:hAnsiTheme="minorEastAsia" w:eastAsiaTheme="minorEastAsia" w:cstheme="minorEastAsia"/>
                <w:color w:val="auto"/>
                <w:kern w:val="0"/>
                <w:sz w:val="24"/>
                <w:szCs w:val="24"/>
                <w:lang w:eastAsia="zh-CN"/>
              </w:rPr>
              <w:t>：</w:t>
            </w:r>
          </w:p>
          <w:p>
            <w:pPr>
              <w:widowControl/>
              <w:jc w:val="left"/>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评审为优（保障措施十分全面、合理、可</w:t>
            </w:r>
            <w:r>
              <w:rPr>
                <w:rFonts w:hint="eastAsia" w:asciiTheme="minorEastAsia" w:hAnsiTheme="minorEastAsia" w:eastAsiaTheme="minorEastAsia" w:cstheme="minorEastAsia"/>
                <w:color w:val="auto"/>
                <w:kern w:val="0"/>
                <w:sz w:val="24"/>
                <w:szCs w:val="24"/>
                <w:lang w:eastAsia="zh-CN"/>
              </w:rPr>
              <w:t>操作</w:t>
            </w:r>
            <w:r>
              <w:rPr>
                <w:rFonts w:hint="eastAsia" w:asciiTheme="minorEastAsia" w:hAnsiTheme="minorEastAsia" w:eastAsiaTheme="minorEastAsia" w:cstheme="minorEastAsia"/>
                <w:color w:val="auto"/>
                <w:kern w:val="0"/>
                <w:sz w:val="24"/>
                <w:szCs w:val="24"/>
              </w:rPr>
              <w:t>性强）加4分</w:t>
            </w:r>
            <w:r>
              <w:rPr>
                <w:rFonts w:hint="eastAsia" w:asciiTheme="minorEastAsia" w:hAnsiTheme="minorEastAsia" w:eastAsiaTheme="minorEastAsia" w:cstheme="minorEastAsia"/>
                <w:color w:val="auto"/>
                <w:kern w:val="0"/>
                <w:sz w:val="24"/>
                <w:szCs w:val="24"/>
                <w:lang w:eastAsia="zh-CN"/>
              </w:rPr>
              <w:t>；</w:t>
            </w:r>
          </w:p>
          <w:p>
            <w:pPr>
              <w:widowControl/>
              <w:jc w:val="left"/>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评审为良（保障措施详细、较合理、具有可</w:t>
            </w:r>
            <w:r>
              <w:rPr>
                <w:rFonts w:hint="eastAsia" w:asciiTheme="minorEastAsia" w:hAnsiTheme="minorEastAsia" w:eastAsiaTheme="minorEastAsia" w:cstheme="minorEastAsia"/>
                <w:color w:val="auto"/>
                <w:kern w:val="0"/>
                <w:sz w:val="24"/>
                <w:szCs w:val="24"/>
                <w:lang w:eastAsia="zh-CN"/>
              </w:rPr>
              <w:t>操作</w:t>
            </w:r>
            <w:r>
              <w:rPr>
                <w:rFonts w:hint="eastAsia" w:asciiTheme="minorEastAsia" w:hAnsiTheme="minorEastAsia" w:eastAsiaTheme="minorEastAsia" w:cstheme="minorEastAsia"/>
                <w:color w:val="auto"/>
                <w:kern w:val="0"/>
                <w:sz w:val="24"/>
                <w:szCs w:val="24"/>
              </w:rPr>
              <w:t>性）加2分</w:t>
            </w:r>
            <w:r>
              <w:rPr>
                <w:rFonts w:hint="eastAsia" w:asciiTheme="minorEastAsia" w:hAnsiTheme="minorEastAsia" w:eastAsiaTheme="minorEastAsia" w:cstheme="minorEastAsia"/>
                <w:color w:val="auto"/>
                <w:kern w:val="0"/>
                <w:sz w:val="24"/>
                <w:szCs w:val="24"/>
                <w:lang w:eastAsia="zh-CN"/>
              </w:rPr>
              <w:t>；</w:t>
            </w:r>
          </w:p>
          <w:p>
            <w:pPr>
              <w:widowControl/>
              <w:jc w:val="left"/>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评审为中（保障措施较详细、不具有可操作性）加1分</w:t>
            </w:r>
            <w:r>
              <w:rPr>
                <w:rFonts w:hint="eastAsia" w:asciiTheme="minorEastAsia" w:hAnsiTheme="minorEastAsia" w:eastAsiaTheme="minorEastAsia" w:cstheme="minorEastAsia"/>
                <w:color w:val="auto"/>
                <w:kern w:val="0"/>
                <w:sz w:val="24"/>
                <w:szCs w:val="24"/>
                <w:lang w:eastAsia="zh-CN"/>
              </w:rPr>
              <w:t>；</w:t>
            </w:r>
          </w:p>
          <w:p>
            <w:pPr>
              <w:widowControl/>
              <w:jc w:val="left"/>
              <w:rPr>
                <w:rFonts w:ascii="宋体" w:hAnsi="宋体" w:eastAsia="宋体" w:cs="宋体"/>
                <w:color w:val="auto"/>
                <w:spacing w:val="-14"/>
                <w:sz w:val="24"/>
                <w:szCs w:val="24"/>
              </w:rPr>
            </w:pPr>
            <w:r>
              <w:rPr>
                <w:rFonts w:hint="eastAsia" w:asciiTheme="minorEastAsia" w:hAnsiTheme="minorEastAsia" w:eastAsiaTheme="minorEastAsia" w:cstheme="minorEastAsia"/>
                <w:color w:val="auto"/>
                <w:kern w:val="0"/>
                <w:sz w:val="24"/>
                <w:szCs w:val="24"/>
              </w:rPr>
              <w:t>评审为差（保障措施较差或未提供）不加分。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134" w:type="dxa"/>
            <w:vMerge w:val="continue"/>
            <w:vAlign w:val="center"/>
          </w:tcPr>
          <w:p>
            <w:pPr>
              <w:spacing w:line="360" w:lineRule="auto"/>
              <w:jc w:val="center"/>
              <w:rPr>
                <w:rFonts w:ascii="宋体" w:hAnsi="宋体" w:eastAsia="宋体" w:cs="宋体"/>
                <w:sz w:val="24"/>
                <w:szCs w:val="24"/>
              </w:rPr>
            </w:pPr>
          </w:p>
        </w:tc>
        <w:tc>
          <w:tcPr>
            <w:tcW w:w="795" w:type="dxa"/>
            <w:vMerge w:val="continue"/>
            <w:vAlign w:val="center"/>
          </w:tcPr>
          <w:p>
            <w:pPr>
              <w:widowControl/>
              <w:adjustRightInd w:val="0"/>
              <w:spacing w:line="360" w:lineRule="auto"/>
              <w:textAlignment w:val="baseline"/>
              <w:rPr>
                <w:rFonts w:ascii="宋体" w:hAnsi="宋体" w:eastAsia="宋体" w:cs="宋体"/>
                <w:spacing w:val="-14"/>
                <w:sz w:val="24"/>
                <w:szCs w:val="24"/>
              </w:rPr>
            </w:pPr>
          </w:p>
        </w:tc>
        <w:tc>
          <w:tcPr>
            <w:tcW w:w="6820" w:type="dxa"/>
            <w:vMerge w:val="continue"/>
            <w:vAlign w:val="center"/>
          </w:tcPr>
          <w:p>
            <w:pPr>
              <w:widowControl/>
              <w:adjustRightInd w:val="0"/>
              <w:spacing w:line="360" w:lineRule="auto"/>
              <w:textAlignment w:val="baseline"/>
              <w:rPr>
                <w:rFonts w:ascii="宋体" w:hAnsi="宋体" w:eastAsia="宋体" w:cs="宋体"/>
                <w:color w:val="auto"/>
                <w:spacing w:val="-1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134" w:type="dxa"/>
            <w:vMerge w:val="continue"/>
            <w:vAlign w:val="center"/>
          </w:tcPr>
          <w:p>
            <w:pPr>
              <w:spacing w:line="360" w:lineRule="auto"/>
              <w:jc w:val="center"/>
              <w:rPr>
                <w:rFonts w:ascii="宋体" w:hAnsi="宋体" w:eastAsia="宋体" w:cs="宋体"/>
                <w:sz w:val="24"/>
                <w:szCs w:val="24"/>
              </w:rPr>
            </w:pPr>
          </w:p>
        </w:tc>
        <w:tc>
          <w:tcPr>
            <w:tcW w:w="795" w:type="dxa"/>
            <w:vMerge w:val="continue"/>
            <w:vAlign w:val="center"/>
          </w:tcPr>
          <w:p>
            <w:pPr>
              <w:widowControl/>
              <w:adjustRightInd w:val="0"/>
              <w:spacing w:line="360" w:lineRule="auto"/>
              <w:textAlignment w:val="baseline"/>
              <w:rPr>
                <w:rFonts w:ascii="宋体" w:hAnsi="宋体" w:eastAsia="宋体" w:cs="宋体"/>
                <w:spacing w:val="-14"/>
                <w:sz w:val="24"/>
                <w:szCs w:val="24"/>
              </w:rPr>
            </w:pPr>
          </w:p>
        </w:tc>
        <w:tc>
          <w:tcPr>
            <w:tcW w:w="6820" w:type="dxa"/>
            <w:vMerge w:val="continue"/>
            <w:vAlign w:val="center"/>
          </w:tcPr>
          <w:p>
            <w:pPr>
              <w:widowControl/>
              <w:adjustRightInd w:val="0"/>
              <w:spacing w:line="360" w:lineRule="auto"/>
              <w:textAlignment w:val="baseline"/>
              <w:rPr>
                <w:rFonts w:ascii="宋体" w:hAnsi="宋体" w:eastAsia="宋体" w:cs="宋体"/>
                <w:color w:val="auto"/>
                <w:spacing w:val="-1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134" w:type="dxa"/>
            <w:vMerge w:val="restart"/>
            <w:vAlign w:val="center"/>
          </w:tcPr>
          <w:p>
            <w:pPr>
              <w:spacing w:line="360" w:lineRule="auto"/>
              <w:jc w:val="center"/>
              <w:rPr>
                <w:rFonts w:ascii="宋体" w:hAnsi="宋体" w:eastAsia="宋体" w:cs="宋体"/>
                <w:sz w:val="24"/>
                <w:szCs w:val="24"/>
              </w:rPr>
            </w:pPr>
            <w:r>
              <w:rPr>
                <w:rFonts w:hint="eastAsia" w:asciiTheme="minorEastAsia" w:hAnsiTheme="minorEastAsia" w:eastAsiaTheme="minorEastAsia" w:cstheme="minorEastAsia"/>
                <w:kern w:val="0"/>
                <w:sz w:val="24"/>
                <w:szCs w:val="24"/>
              </w:rPr>
              <w:t>项目完成（服务期满）后的服务承诺</w:t>
            </w:r>
          </w:p>
        </w:tc>
        <w:tc>
          <w:tcPr>
            <w:tcW w:w="795" w:type="dxa"/>
            <w:vMerge w:val="restart"/>
            <w:vAlign w:val="center"/>
          </w:tcPr>
          <w:p>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6820" w:type="dxa"/>
            <w:vMerge w:val="restart"/>
            <w:vAlign w:val="center"/>
          </w:tcPr>
          <w:p>
            <w:pPr>
              <w:widowControl/>
              <w:jc w:val="left"/>
              <w:rPr>
                <w:rFonts w:asciiTheme="minorEastAsia" w:hAnsi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（一）评分内容：</w:t>
            </w:r>
          </w:p>
          <w:p>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1.关于项目移交手续办理；</w:t>
            </w:r>
          </w:p>
          <w:p>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2.对项目信息保密承诺；</w:t>
            </w:r>
          </w:p>
          <w:p>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3.项目验收后配合监督管理。</w:t>
            </w:r>
          </w:p>
          <w:p>
            <w:pPr>
              <w:widowControl/>
              <w:jc w:val="left"/>
              <w:rPr>
                <w:rFonts w:asciiTheme="minorEastAsia" w:hAnsi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（二）评分依据：</w:t>
            </w:r>
          </w:p>
          <w:p>
            <w:pPr>
              <w:widowControl/>
              <w:jc w:val="left"/>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每满足以上一项要求得</w:t>
            </w:r>
            <w:r>
              <w:rPr>
                <w:rFonts w:hint="eastAsia" w:asciiTheme="minorEastAsia" w:hAnsiTheme="minorEastAsia" w:eastAsiaTheme="minorEastAsia" w:cstheme="minorEastAsia"/>
                <w:color w:val="auto"/>
                <w:kern w:val="0"/>
                <w:sz w:val="24"/>
                <w:szCs w:val="24"/>
                <w:lang w:val="en-US" w:eastAsia="zh-CN"/>
              </w:rPr>
              <w:t>2</w:t>
            </w:r>
            <w:r>
              <w:rPr>
                <w:rFonts w:hint="eastAsia" w:asciiTheme="minorEastAsia" w:hAnsiTheme="minorEastAsia" w:eastAsiaTheme="minorEastAsia" w:cstheme="minorEastAsia"/>
                <w:color w:val="auto"/>
                <w:kern w:val="0"/>
                <w:sz w:val="24"/>
                <w:szCs w:val="24"/>
              </w:rPr>
              <w:t>分，最高得</w:t>
            </w:r>
            <w:r>
              <w:rPr>
                <w:rFonts w:hint="eastAsia" w:asciiTheme="minorEastAsia" w:hAnsiTheme="minorEastAsia" w:eastAsiaTheme="minorEastAsia" w:cstheme="minorEastAsia"/>
                <w:color w:val="auto"/>
                <w:kern w:val="0"/>
                <w:sz w:val="24"/>
                <w:szCs w:val="24"/>
                <w:lang w:val="en-US" w:eastAsia="zh-CN"/>
              </w:rPr>
              <w:t>6</w:t>
            </w:r>
            <w:r>
              <w:rPr>
                <w:rFonts w:hint="eastAsia" w:asciiTheme="minorEastAsia" w:hAnsiTheme="minorEastAsia" w:eastAsiaTheme="minorEastAsia" w:cstheme="minorEastAsia"/>
                <w:color w:val="auto"/>
                <w:kern w:val="0"/>
                <w:sz w:val="24"/>
                <w:szCs w:val="24"/>
              </w:rPr>
              <w:t>分，在此基础上</w:t>
            </w:r>
            <w:r>
              <w:rPr>
                <w:rFonts w:hint="eastAsia" w:asciiTheme="minorEastAsia" w:hAnsiTheme="minorEastAsia" w:eastAsiaTheme="minorEastAsia" w:cstheme="minorEastAsia"/>
                <w:color w:val="auto"/>
                <w:kern w:val="0"/>
                <w:sz w:val="24"/>
                <w:szCs w:val="24"/>
                <w:lang w:eastAsia="zh-CN"/>
              </w:rPr>
              <w:t>：</w:t>
            </w:r>
          </w:p>
          <w:p>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评审为优（服务承诺内容全面具体，至少包含：关于项目移交手续办理，对项目信息保密，项目后续顾问咨询支持时间，配合监督管理等支持内容等）加</w:t>
            </w:r>
            <w:r>
              <w:rPr>
                <w:rFonts w:hint="eastAsia" w:asciiTheme="minorEastAsia" w:hAnsiTheme="minorEastAsia" w:eastAsiaTheme="minorEastAsia" w:cstheme="minorEastAsia"/>
                <w:color w:val="auto"/>
                <w:kern w:val="0"/>
                <w:sz w:val="24"/>
                <w:szCs w:val="24"/>
                <w:lang w:val="en-US" w:eastAsia="zh-CN"/>
              </w:rPr>
              <w:t>4</w:t>
            </w:r>
            <w:r>
              <w:rPr>
                <w:rFonts w:hint="eastAsia" w:asciiTheme="minorEastAsia" w:hAnsiTheme="minorEastAsia" w:eastAsiaTheme="minorEastAsia" w:cstheme="minorEastAsia"/>
                <w:color w:val="auto"/>
                <w:kern w:val="0"/>
                <w:sz w:val="24"/>
                <w:szCs w:val="24"/>
              </w:rPr>
              <w:t>分；</w:t>
            </w:r>
          </w:p>
          <w:p>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评审为良（服务承诺内容较全面具体）加</w:t>
            </w:r>
            <w:r>
              <w:rPr>
                <w:rFonts w:hint="eastAsia" w:asciiTheme="minorEastAsia" w:hAnsiTheme="minorEastAsia" w:eastAsiaTheme="minorEastAsia" w:cstheme="minorEastAsia"/>
                <w:color w:val="auto"/>
                <w:kern w:val="0"/>
                <w:sz w:val="24"/>
                <w:szCs w:val="24"/>
                <w:lang w:val="en-US" w:eastAsia="zh-CN"/>
              </w:rPr>
              <w:t>2</w:t>
            </w:r>
            <w:r>
              <w:rPr>
                <w:rFonts w:hint="eastAsia" w:asciiTheme="minorEastAsia" w:hAnsiTheme="minorEastAsia" w:eastAsiaTheme="minorEastAsia" w:cstheme="minorEastAsia"/>
                <w:color w:val="auto"/>
                <w:kern w:val="0"/>
                <w:sz w:val="24"/>
                <w:szCs w:val="24"/>
              </w:rPr>
              <w:t>分；</w:t>
            </w:r>
          </w:p>
          <w:p>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评审为中（服务承诺内容基本全面具体）加</w:t>
            </w:r>
            <w:r>
              <w:rPr>
                <w:rFonts w:hint="eastAsia" w:asciiTheme="minorEastAsia" w:hAnsiTheme="minorEastAsia" w:eastAsiaTheme="minorEastAsia" w:cstheme="minorEastAsia"/>
                <w:color w:val="auto"/>
                <w:kern w:val="0"/>
                <w:sz w:val="24"/>
                <w:szCs w:val="24"/>
                <w:lang w:val="en-US" w:eastAsia="zh-CN"/>
              </w:rPr>
              <w:t>1</w:t>
            </w:r>
            <w:r>
              <w:rPr>
                <w:rFonts w:hint="eastAsia" w:asciiTheme="minorEastAsia" w:hAnsiTheme="minorEastAsia" w:eastAsiaTheme="minorEastAsia" w:cstheme="minorEastAsia"/>
                <w:color w:val="auto"/>
                <w:kern w:val="0"/>
                <w:sz w:val="24"/>
                <w:szCs w:val="24"/>
              </w:rPr>
              <w:t>分；</w:t>
            </w:r>
          </w:p>
          <w:p>
            <w:pPr>
              <w:widowControl/>
              <w:jc w:val="left"/>
              <w:rPr>
                <w:rFonts w:ascii="宋体" w:hAnsi="宋体" w:eastAsia="宋体" w:cs="宋体"/>
                <w:color w:val="auto"/>
                <w:spacing w:val="-14"/>
                <w:sz w:val="24"/>
                <w:szCs w:val="24"/>
              </w:rPr>
            </w:pPr>
            <w:r>
              <w:rPr>
                <w:rFonts w:hint="eastAsia" w:asciiTheme="minorEastAsia" w:hAnsiTheme="minorEastAsia" w:eastAsiaTheme="minorEastAsia" w:cstheme="minorEastAsia"/>
                <w:color w:val="auto"/>
                <w:kern w:val="0"/>
                <w:sz w:val="24"/>
                <w:szCs w:val="24"/>
              </w:rPr>
              <w:t>评审为差（服务承诺内容不全面具体）不加分。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134" w:type="dxa"/>
            <w:vMerge w:val="continue"/>
            <w:vAlign w:val="center"/>
          </w:tcPr>
          <w:p>
            <w:pPr>
              <w:spacing w:line="300" w:lineRule="exact"/>
              <w:jc w:val="center"/>
              <w:rPr>
                <w:rFonts w:ascii="宋体" w:hAnsi="Times New Roman" w:eastAsia="宋体" w:cs="宋体"/>
                <w:sz w:val="24"/>
                <w:szCs w:val="24"/>
              </w:rPr>
            </w:pPr>
          </w:p>
        </w:tc>
        <w:tc>
          <w:tcPr>
            <w:tcW w:w="795" w:type="dxa"/>
            <w:vMerge w:val="continue"/>
            <w:vAlign w:val="center"/>
          </w:tcPr>
          <w:p>
            <w:pPr>
              <w:widowControl/>
              <w:adjustRightInd w:val="0"/>
              <w:textAlignment w:val="baseline"/>
              <w:rPr>
                <w:rFonts w:ascii="宋体" w:hAnsi="Times New Roman" w:eastAsia="宋体" w:cs="宋体"/>
                <w:spacing w:val="-14"/>
                <w:sz w:val="24"/>
                <w:szCs w:val="24"/>
              </w:rPr>
            </w:pPr>
          </w:p>
        </w:tc>
        <w:tc>
          <w:tcPr>
            <w:tcW w:w="6820" w:type="dxa"/>
            <w:vMerge w:val="continue"/>
            <w:vAlign w:val="center"/>
          </w:tcPr>
          <w:p>
            <w:pPr>
              <w:widowControl/>
              <w:adjustRightInd w:val="0"/>
              <w:textAlignment w:val="baseline"/>
              <w:rPr>
                <w:rFonts w:ascii="宋体" w:hAnsi="Times New Roman" w:eastAsia="宋体" w:cs="宋体"/>
                <w:spacing w:val="-14"/>
                <w:sz w:val="24"/>
                <w:szCs w:val="24"/>
              </w:rPr>
            </w:pPr>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F"/>
    <w:family w:val="auto"/>
    <w:pitch w:val="default"/>
    <w:sig w:usb0="00000000" w:usb1="00000000" w:usb2="00000000" w:usb3="00000000" w:csb0="00000000"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ESI宋体-GB2312">
    <w:panose1 w:val="02000500000000000000"/>
    <w:charset w:val="86"/>
    <w:family w:val="auto"/>
    <w:pitch w:val="default"/>
    <w:sig w:usb0="800002AF" w:usb1="08476CF8" w:usb2="00000010" w:usb3="00000000" w:csb0="0004000F" w:csb1="00000000"/>
  </w:font>
  <w:font w:name="CESI仿宋-GB2312">
    <w:panose1 w:val="02000500000000000000"/>
    <w:charset w:val="86"/>
    <w:family w:val="auto"/>
    <w:pitch w:val="default"/>
    <w:sig w:usb0="800002AF" w:usb1="084F6CF8" w:usb2="00000010" w:usb3="00000000" w:csb0="0004000F"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displayBackgroundShape w:val="1"/>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VmMjhhYWI5NDczOGI3ZDVjZjg5MWE4ZTlhMmRmNDgifQ=="/>
  </w:docVars>
  <w:rsids>
    <w:rsidRoot w:val="00CC1F88"/>
    <w:rsid w:val="000622B3"/>
    <w:rsid w:val="00093884"/>
    <w:rsid w:val="000B0EB6"/>
    <w:rsid w:val="000E7928"/>
    <w:rsid w:val="00156FA0"/>
    <w:rsid w:val="00162D35"/>
    <w:rsid w:val="001C6F3D"/>
    <w:rsid w:val="001E1CB5"/>
    <w:rsid w:val="001E691D"/>
    <w:rsid w:val="00223C4F"/>
    <w:rsid w:val="00256801"/>
    <w:rsid w:val="002D4676"/>
    <w:rsid w:val="00307B06"/>
    <w:rsid w:val="003B3233"/>
    <w:rsid w:val="0041325D"/>
    <w:rsid w:val="00481E18"/>
    <w:rsid w:val="00487D26"/>
    <w:rsid w:val="00495F79"/>
    <w:rsid w:val="004B1D91"/>
    <w:rsid w:val="004C0368"/>
    <w:rsid w:val="004C3E28"/>
    <w:rsid w:val="004D7C1D"/>
    <w:rsid w:val="00511DB7"/>
    <w:rsid w:val="00553D8E"/>
    <w:rsid w:val="00565C9D"/>
    <w:rsid w:val="005C2E8F"/>
    <w:rsid w:val="005C5CB4"/>
    <w:rsid w:val="005E7B4C"/>
    <w:rsid w:val="006959CB"/>
    <w:rsid w:val="006A1F77"/>
    <w:rsid w:val="006A7D3E"/>
    <w:rsid w:val="00703B7A"/>
    <w:rsid w:val="00707DEF"/>
    <w:rsid w:val="00752F55"/>
    <w:rsid w:val="007C05D6"/>
    <w:rsid w:val="007E14BF"/>
    <w:rsid w:val="00883B25"/>
    <w:rsid w:val="008C1DF5"/>
    <w:rsid w:val="008F2943"/>
    <w:rsid w:val="00933A14"/>
    <w:rsid w:val="00966FD3"/>
    <w:rsid w:val="009933A4"/>
    <w:rsid w:val="009A45A7"/>
    <w:rsid w:val="009E15FE"/>
    <w:rsid w:val="009F7AAF"/>
    <w:rsid w:val="00A25121"/>
    <w:rsid w:val="00A468B6"/>
    <w:rsid w:val="00AD4455"/>
    <w:rsid w:val="00AF4883"/>
    <w:rsid w:val="00B61EAA"/>
    <w:rsid w:val="00B6626E"/>
    <w:rsid w:val="00BD66B8"/>
    <w:rsid w:val="00C01CB4"/>
    <w:rsid w:val="00C6248E"/>
    <w:rsid w:val="00C65CFA"/>
    <w:rsid w:val="00C82A25"/>
    <w:rsid w:val="00CC1F88"/>
    <w:rsid w:val="00D2407E"/>
    <w:rsid w:val="00D3490C"/>
    <w:rsid w:val="00D44865"/>
    <w:rsid w:val="00D45E5C"/>
    <w:rsid w:val="00D672C8"/>
    <w:rsid w:val="00DC679C"/>
    <w:rsid w:val="00DD6C57"/>
    <w:rsid w:val="00E54C1C"/>
    <w:rsid w:val="00E854FA"/>
    <w:rsid w:val="00E8749A"/>
    <w:rsid w:val="00F13A05"/>
    <w:rsid w:val="00F21AC9"/>
    <w:rsid w:val="00F60357"/>
    <w:rsid w:val="00F9604F"/>
    <w:rsid w:val="01346677"/>
    <w:rsid w:val="0B656C06"/>
    <w:rsid w:val="0D6F65AD"/>
    <w:rsid w:val="0DE78015"/>
    <w:rsid w:val="0EBE561C"/>
    <w:rsid w:val="12FF4126"/>
    <w:rsid w:val="160868AF"/>
    <w:rsid w:val="16671486"/>
    <w:rsid w:val="189362B8"/>
    <w:rsid w:val="1FF3EF7B"/>
    <w:rsid w:val="257874A8"/>
    <w:rsid w:val="2B1FC1A8"/>
    <w:rsid w:val="2BB7560F"/>
    <w:rsid w:val="2BFBA1BA"/>
    <w:rsid w:val="2D50134C"/>
    <w:rsid w:val="2F065264"/>
    <w:rsid w:val="3AD23D1D"/>
    <w:rsid w:val="3F3ECB11"/>
    <w:rsid w:val="3FFF85DA"/>
    <w:rsid w:val="548D69D0"/>
    <w:rsid w:val="5F6C4008"/>
    <w:rsid w:val="6C7F712D"/>
    <w:rsid w:val="6CFB0485"/>
    <w:rsid w:val="6D230A61"/>
    <w:rsid w:val="73F95119"/>
    <w:rsid w:val="757F444B"/>
    <w:rsid w:val="79FF6F2E"/>
    <w:rsid w:val="7F2ED4D4"/>
    <w:rsid w:val="7FBE2C9C"/>
    <w:rsid w:val="7FFEDFA2"/>
    <w:rsid w:val="A3D857AA"/>
    <w:rsid w:val="DF3B39AE"/>
    <w:rsid w:val="E3D9842F"/>
    <w:rsid w:val="E6ADEA25"/>
    <w:rsid w:val="FB9F27F0"/>
    <w:rsid w:val="FEFF5F72"/>
    <w:rsid w:val="FEFF79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Theme="minorHAnsi" w:hAnsiTheme="minorHAnsi" w:eastAsiaTheme="minorEastAsia" w:cstheme="minorBidi"/>
    </w:rPr>
  </w:style>
  <w:style w:type="paragraph" w:styleId="3">
    <w:name w:val="Balloon Text"/>
    <w:basedOn w:val="1"/>
    <w:link w:val="11"/>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Default"/>
    <w:qFormat/>
    <w:uiPriority w:val="0"/>
    <w:pPr>
      <w:widowControl w:val="0"/>
      <w:autoSpaceDE w:val="0"/>
      <w:autoSpaceDN w:val="0"/>
      <w:adjustRightInd w:val="0"/>
    </w:pPr>
    <w:rPr>
      <w:rFonts w:ascii="微软雅黑" w:hAnsi="等线" w:eastAsia="微软雅黑" w:cs="微软雅黑"/>
      <w:color w:val="000000"/>
      <w:sz w:val="24"/>
      <w:szCs w:val="24"/>
      <w:lang w:val="en-US" w:eastAsia="zh-CN" w:bidi="ar-SA"/>
    </w:rPr>
  </w:style>
  <w:style w:type="character" w:customStyle="1" w:styleId="9">
    <w:name w:val="页脚 字符"/>
    <w:basedOn w:val="7"/>
    <w:link w:val="4"/>
    <w:qFormat/>
    <w:uiPriority w:val="99"/>
    <w:rPr>
      <w:sz w:val="18"/>
      <w:szCs w:val="18"/>
    </w:rPr>
  </w:style>
  <w:style w:type="character" w:customStyle="1" w:styleId="10">
    <w:name w:val="页眉 字符"/>
    <w:basedOn w:val="7"/>
    <w:link w:val="5"/>
    <w:qFormat/>
    <w:uiPriority w:val="99"/>
    <w:rPr>
      <w:sz w:val="18"/>
      <w:szCs w:val="18"/>
    </w:rPr>
  </w:style>
  <w:style w:type="character" w:customStyle="1" w:styleId="11">
    <w:name w:val="批注框文本 字符"/>
    <w:basedOn w:val="7"/>
    <w:link w:val="3"/>
    <w:semiHidden/>
    <w:qFormat/>
    <w:uiPriority w:val="99"/>
    <w:rPr>
      <w:kern w:val="2"/>
      <w:sz w:val="18"/>
      <w:szCs w:val="18"/>
    </w:rPr>
  </w:style>
  <w:style w:type="paragraph" w:customStyle="1" w:styleId="12">
    <w:name w:val="修订1"/>
    <w:hidden/>
    <w:unhideWhenUsed/>
    <w:qFormat/>
    <w:uiPriority w:val="99"/>
    <w:rPr>
      <w:rFonts w:ascii="等线" w:hAnsi="等线" w:eastAsia="等线" w:cs="Times New Roman"/>
      <w:kern w:val="2"/>
      <w:sz w:val="21"/>
      <w:szCs w:val="22"/>
      <w:lang w:val="en-US" w:eastAsia="zh-CN" w:bidi="ar-SA"/>
    </w:rPr>
  </w:style>
  <w:style w:type="paragraph" w:customStyle="1" w:styleId="13">
    <w:name w:val="修订2"/>
    <w:hidden/>
    <w:unhideWhenUsed/>
    <w:qFormat/>
    <w:uiPriority w:val="99"/>
    <w:rPr>
      <w:rFonts w:ascii="等线" w:hAnsi="等线" w:eastAsia="等线" w:cs="Times New Roman"/>
      <w:kern w:val="2"/>
      <w:sz w:val="21"/>
      <w:szCs w:val="22"/>
      <w:lang w:val="en-US" w:eastAsia="zh-CN" w:bidi="ar-SA"/>
    </w:rPr>
  </w:style>
  <w:style w:type="paragraph" w:customStyle="1" w:styleId="14">
    <w:name w:val="修订3"/>
    <w:hidden/>
    <w:unhideWhenUsed/>
    <w:qFormat/>
    <w:uiPriority w:val="99"/>
    <w:rPr>
      <w:rFonts w:ascii="等线" w:hAnsi="等线" w:eastAsia="等线" w:cs="Times New Roman"/>
      <w:kern w:val="2"/>
      <w:sz w:val="21"/>
      <w:szCs w:val="22"/>
      <w:lang w:val="en-US" w:eastAsia="zh-CN" w:bidi="ar-SA"/>
    </w:rPr>
  </w:style>
  <w:style w:type="paragraph" w:customStyle="1" w:styleId="15">
    <w:name w:val="文档正文"/>
    <w:basedOn w:val="1"/>
    <w:qFormat/>
    <w:uiPriority w:val="0"/>
    <w:pPr>
      <w:spacing w:line="360" w:lineRule="auto"/>
    </w:pPr>
    <w:rPr>
      <w:rFonts w:asciiTheme="minorHAnsi" w:hAnsiTheme="minorHAnsi" w:eastAsiaTheme="minorEastAsia" w:cstheme="minorBidi"/>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1690</Words>
  <Characters>1767</Characters>
  <Lines>13</Lines>
  <Paragraphs>3</Paragraphs>
  <TotalTime>24</TotalTime>
  <ScaleCrop>false</ScaleCrop>
  <LinksUpToDate>false</LinksUpToDate>
  <CharactersWithSpaces>1771</CharactersWithSpaces>
  <Application>WPS Office_11.8.2.12229_F1E327BC-269C-435d-A152-05C5408002CA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2024-04-30T06:59:00Z</dcterms:created>
  <dc:creator>继源</dc:creator>
  <cp:lastModifiedBy>工业三科（装备工业科）</cp:lastModifiedBy>
  <cp:lastPrinted>2024-06-06T19:16:00Z</cp:lastPrinted>
  <dcterms:modified xsi:type="dcterms:W3CDTF">2024-09-29T10:39:00Z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2052-11.8.2.12229</vt:lpwstr>
  </property>
  <property fmtid="{D5CDD505-2E9C-101B-9397-08002B2CF9AE}" pid="3" name="ICV">
    <vt:lpwstr>4446874905E7155C49A736650A82A69A_43</vt:lpwstr>
  </property>
</Properties>
</file>